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EB2251">
      <w:pPr>
        <w:rPr>
          <w:rFonts w:hint="eastAsia"/>
          <w:b/>
          <w:bCs/>
          <w:sz w:val="28"/>
          <w:szCs w:val="28"/>
          <w:lang w:val="en-US" w:eastAsia="zh-CN"/>
        </w:rPr>
      </w:pPr>
      <w:r>
        <w:rPr>
          <w:rFonts w:hint="eastAsia" w:ascii="黑体" w:hAnsi="黑体" w:eastAsia="黑体" w:cs="黑体"/>
          <w:bCs/>
          <w:sz w:val="28"/>
          <w:szCs w:val="28"/>
          <w:lang w:eastAsia="zh-CN"/>
        </w:rPr>
        <w:t>附件</w:t>
      </w:r>
      <w:r>
        <w:rPr>
          <w:rFonts w:hint="eastAsia" w:ascii="黑体" w:hAnsi="黑体" w:eastAsia="黑体" w:cs="黑体"/>
          <w:bCs/>
          <w:sz w:val="28"/>
          <w:szCs w:val="28"/>
          <w:lang w:val="en-US" w:eastAsia="zh-CN"/>
        </w:rPr>
        <w:t>1</w:t>
      </w:r>
    </w:p>
    <w:p w14:paraId="589AA6DA">
      <w:pPr>
        <w:pageBreakBefore w:val="0"/>
        <w:widowControl w:val="0"/>
        <w:kinsoku/>
        <w:overflowPunct/>
        <w:topLinePunct w:val="0"/>
        <w:bidi w:val="0"/>
        <w:snapToGrid/>
        <w:spacing w:line="420" w:lineRule="exact"/>
        <w:ind w:firstLine="562" w:firstLineChars="200"/>
        <w:jc w:val="center"/>
        <w:textAlignment w:val="auto"/>
        <w:rPr>
          <w:rFonts w:hint="eastAsia" w:cs="仿宋_GB2312" w:asciiTheme="minorEastAsia" w:hAnsiTheme="minorEastAsia" w:eastAsiaTheme="minorEastAsia"/>
          <w:b/>
          <w:bCs/>
          <w:color w:val="auto"/>
          <w:kern w:val="0"/>
          <w:sz w:val="28"/>
          <w:szCs w:val="28"/>
          <w:highlight w:val="none"/>
          <w:lang w:val="en-US" w:eastAsia="zh-CN"/>
        </w:rPr>
      </w:pPr>
      <w:r>
        <w:rPr>
          <w:rFonts w:hint="eastAsia" w:cs="仿宋_GB2312" w:asciiTheme="minorEastAsia" w:hAnsiTheme="minorEastAsia" w:eastAsiaTheme="minorEastAsia"/>
          <w:b/>
          <w:bCs/>
          <w:color w:val="auto"/>
          <w:kern w:val="0"/>
          <w:sz w:val="28"/>
          <w:szCs w:val="28"/>
          <w:highlight w:val="none"/>
          <w:lang w:val="en-US" w:eastAsia="zh-CN"/>
        </w:rPr>
        <w:t>服务要求</w:t>
      </w:r>
    </w:p>
    <w:p w14:paraId="56271B26">
      <w:pPr>
        <w:pStyle w:val="5"/>
        <w:numPr>
          <w:ilvl w:val="0"/>
          <w:numId w:val="0"/>
        </w:numPr>
        <w:ind w:firstLine="480" w:firstLineChars="200"/>
        <w:rPr>
          <w:rFonts w:hint="eastAsia" w:cs="仿宋_GB2312" w:asciiTheme="minorEastAsia" w:hAnsiTheme="minorEastAsia" w:eastAsiaTheme="minorEastAsia"/>
          <w:color w:val="auto"/>
          <w:kern w:val="0"/>
          <w:sz w:val="24"/>
          <w:szCs w:val="24"/>
          <w:highlight w:val="none"/>
          <w:lang w:val="en-US" w:eastAsia="zh-CN"/>
        </w:rPr>
      </w:pPr>
    </w:p>
    <w:p w14:paraId="1E8E1C67">
      <w:pPr>
        <w:pStyle w:val="5"/>
        <w:numPr>
          <w:ilvl w:val="0"/>
          <w:numId w:val="0"/>
        </w:numPr>
        <w:ind w:firstLine="480" w:firstLineChars="200"/>
        <w:rPr>
          <w:rFonts w:hint="default" w:cs="仿宋_GB2312" w:asciiTheme="minorEastAsia" w:hAnsiTheme="minorEastAsia" w:eastAsiaTheme="minorEastAsia"/>
          <w:color w:val="auto"/>
          <w:kern w:val="0"/>
          <w:sz w:val="24"/>
          <w:szCs w:val="24"/>
          <w:highlight w:val="none"/>
          <w:lang w:val="en-US" w:eastAsia="zh-CN"/>
        </w:rPr>
      </w:pPr>
      <w:r>
        <w:rPr>
          <w:rFonts w:hint="eastAsia" w:cs="仿宋_GB2312" w:asciiTheme="minorEastAsia" w:hAnsiTheme="minorEastAsia" w:eastAsiaTheme="minorEastAsia"/>
          <w:color w:val="auto"/>
          <w:kern w:val="0"/>
          <w:sz w:val="24"/>
          <w:szCs w:val="24"/>
          <w:highlight w:val="none"/>
          <w:lang w:val="en-US" w:eastAsia="zh-CN"/>
        </w:rPr>
        <w:t>（一）食材要求</w:t>
      </w:r>
    </w:p>
    <w:p w14:paraId="2CD4BCB5">
      <w:pPr>
        <w:pStyle w:val="5"/>
        <w:numPr>
          <w:ilvl w:val="0"/>
          <w:numId w:val="0"/>
        </w:numPr>
        <w:ind w:firstLine="480" w:firstLineChars="200"/>
        <w:rPr>
          <w:rFonts w:hint="eastAsia" w:cs="仿宋_GB2312" w:asciiTheme="minorEastAsia" w:hAnsiTheme="minorEastAsia" w:eastAsiaTheme="minorEastAsia"/>
          <w:color w:val="auto"/>
          <w:kern w:val="0"/>
          <w:sz w:val="24"/>
          <w:szCs w:val="24"/>
          <w:highlight w:val="none"/>
          <w:lang w:val="en-US" w:eastAsia="zh-CN"/>
        </w:rPr>
      </w:pPr>
      <w:r>
        <w:rPr>
          <w:rFonts w:hint="eastAsia" w:cs="仿宋_GB2312" w:asciiTheme="minorEastAsia" w:hAnsiTheme="minorEastAsia" w:eastAsiaTheme="minorEastAsia"/>
          <w:color w:val="auto"/>
          <w:kern w:val="0"/>
          <w:sz w:val="24"/>
          <w:szCs w:val="24"/>
          <w:highlight w:val="none"/>
          <w:lang w:val="en-US" w:eastAsia="zh-CN"/>
        </w:rPr>
        <w:t>1.比选申请人所提供产品须符合国家相关标准和强制性规定要求，为质量合格产品。比选人对食材有特殊要求的，应满足比选人相关需求。</w:t>
      </w:r>
    </w:p>
    <w:p w14:paraId="191C215D">
      <w:pPr>
        <w:pStyle w:val="5"/>
        <w:numPr>
          <w:ilvl w:val="0"/>
          <w:numId w:val="0"/>
        </w:numPr>
        <w:ind w:firstLine="480" w:firstLineChars="200"/>
        <w:rPr>
          <w:rFonts w:hint="eastAsia" w:cs="仿宋_GB2312" w:asciiTheme="minorEastAsia" w:hAnsiTheme="minorEastAsia" w:eastAsiaTheme="minorEastAsia"/>
          <w:color w:val="auto"/>
          <w:kern w:val="0"/>
          <w:sz w:val="24"/>
          <w:szCs w:val="24"/>
          <w:highlight w:val="none"/>
          <w:lang w:val="en-US" w:eastAsia="zh-CN"/>
        </w:rPr>
      </w:pPr>
      <w:r>
        <w:rPr>
          <w:rFonts w:hint="eastAsia" w:cs="仿宋_GB2312" w:asciiTheme="minorEastAsia" w:hAnsiTheme="minorEastAsia" w:eastAsiaTheme="minorEastAsia"/>
          <w:color w:val="auto"/>
          <w:kern w:val="0"/>
          <w:sz w:val="24"/>
          <w:szCs w:val="24"/>
          <w:highlight w:val="none"/>
          <w:lang w:val="en-US" w:eastAsia="zh-CN"/>
        </w:rPr>
        <w:t>2.预包装类食品原网应具有8C标识及生产许可证编号。其中:</w:t>
      </w:r>
    </w:p>
    <w:p w14:paraId="4B147558">
      <w:pPr>
        <w:pStyle w:val="5"/>
        <w:numPr>
          <w:ilvl w:val="0"/>
          <w:numId w:val="0"/>
        </w:numPr>
        <w:ind w:firstLine="480" w:firstLineChars="200"/>
        <w:rPr>
          <w:rFonts w:hint="eastAsia" w:cs="仿宋_GB2312" w:asciiTheme="minorEastAsia" w:hAnsiTheme="minorEastAsia" w:eastAsiaTheme="minorEastAsia"/>
          <w:color w:val="auto"/>
          <w:kern w:val="0"/>
          <w:sz w:val="24"/>
          <w:szCs w:val="24"/>
          <w:highlight w:val="none"/>
          <w:lang w:val="en-US" w:eastAsia="zh-CN"/>
        </w:rPr>
      </w:pPr>
      <w:r>
        <w:rPr>
          <w:rFonts w:hint="eastAsia" w:cs="仿宋_GB2312" w:asciiTheme="minorEastAsia" w:hAnsiTheme="minorEastAsia" w:eastAsiaTheme="minorEastAsia"/>
          <w:color w:val="auto"/>
          <w:kern w:val="0"/>
          <w:sz w:val="24"/>
          <w:szCs w:val="24"/>
          <w:highlight w:val="none"/>
          <w:lang w:val="en-US" w:eastAsia="zh-CN"/>
        </w:rPr>
        <w:t>2.1大米为籼米(一级)或粳米(一级)，执行标准:G日2715-2016、国家标准(GB/T 1354-2009)四级及以上或国家卫生、食品安全最新标准;</w:t>
      </w:r>
    </w:p>
    <w:p w14:paraId="34603AC1">
      <w:pPr>
        <w:pStyle w:val="5"/>
        <w:numPr>
          <w:ilvl w:val="0"/>
          <w:numId w:val="0"/>
        </w:numPr>
        <w:ind w:firstLine="480" w:firstLineChars="200"/>
        <w:rPr>
          <w:rFonts w:hint="eastAsia" w:cs="仿宋_GB2312" w:asciiTheme="minorEastAsia" w:hAnsiTheme="minorEastAsia" w:eastAsiaTheme="minorEastAsia"/>
          <w:color w:val="auto"/>
          <w:kern w:val="0"/>
          <w:sz w:val="24"/>
          <w:szCs w:val="24"/>
          <w:highlight w:val="none"/>
          <w:lang w:val="en-US" w:eastAsia="zh-CN"/>
        </w:rPr>
      </w:pPr>
      <w:r>
        <w:rPr>
          <w:rFonts w:hint="eastAsia" w:cs="仿宋_GB2312" w:asciiTheme="minorEastAsia" w:hAnsiTheme="minorEastAsia" w:eastAsiaTheme="minorEastAsia"/>
          <w:color w:val="auto"/>
          <w:kern w:val="0"/>
          <w:sz w:val="24"/>
          <w:szCs w:val="24"/>
          <w:highlight w:val="none"/>
          <w:lang w:val="en-US" w:eastAsia="zh-CN"/>
        </w:rPr>
        <w:t>2.2面粉为特精粉(一级)，执行标准:GB1355-86或国家卫生、食品安全最新标准;</w:t>
      </w:r>
    </w:p>
    <w:p w14:paraId="0312F395">
      <w:pPr>
        <w:pStyle w:val="5"/>
        <w:numPr>
          <w:ilvl w:val="0"/>
          <w:numId w:val="0"/>
        </w:numPr>
        <w:ind w:firstLine="480" w:firstLineChars="200"/>
        <w:rPr>
          <w:rFonts w:hint="eastAsia" w:cs="仿宋_GB2312" w:asciiTheme="minorEastAsia" w:hAnsiTheme="minorEastAsia" w:eastAsiaTheme="minorEastAsia"/>
          <w:color w:val="auto"/>
          <w:kern w:val="0"/>
          <w:sz w:val="24"/>
          <w:szCs w:val="24"/>
          <w:highlight w:val="none"/>
          <w:lang w:val="en-US" w:eastAsia="zh-CN"/>
        </w:rPr>
      </w:pPr>
      <w:r>
        <w:rPr>
          <w:rFonts w:hint="eastAsia" w:cs="仿宋_GB2312" w:asciiTheme="minorEastAsia" w:hAnsiTheme="minorEastAsia" w:eastAsiaTheme="minorEastAsia"/>
          <w:color w:val="auto"/>
          <w:kern w:val="0"/>
          <w:sz w:val="24"/>
          <w:szCs w:val="24"/>
          <w:highlight w:val="none"/>
          <w:lang w:val="en-US" w:eastAsia="zh-CN"/>
        </w:rPr>
        <w:t>2.3食用油为非转基因食用植物油，执行标准:植物油GB2716-2018或国家卫生、食品安全最新标准;</w:t>
      </w:r>
    </w:p>
    <w:p w14:paraId="4AF48EB3">
      <w:pPr>
        <w:pStyle w:val="5"/>
        <w:numPr>
          <w:ilvl w:val="0"/>
          <w:numId w:val="0"/>
        </w:numPr>
        <w:ind w:firstLine="480" w:firstLineChars="200"/>
        <w:rPr>
          <w:rFonts w:hint="eastAsia" w:cs="仿宋_GB2312" w:asciiTheme="minorEastAsia" w:hAnsiTheme="minorEastAsia" w:eastAsiaTheme="minorEastAsia"/>
          <w:color w:val="auto"/>
          <w:kern w:val="0"/>
          <w:sz w:val="24"/>
          <w:szCs w:val="24"/>
          <w:highlight w:val="none"/>
          <w:lang w:val="en-US" w:eastAsia="zh-CN"/>
        </w:rPr>
      </w:pPr>
      <w:r>
        <w:rPr>
          <w:rFonts w:hint="eastAsia" w:cs="仿宋_GB2312" w:asciiTheme="minorEastAsia" w:hAnsiTheme="minorEastAsia" w:eastAsiaTheme="minorEastAsia"/>
          <w:color w:val="auto"/>
          <w:kern w:val="0"/>
          <w:sz w:val="24"/>
          <w:szCs w:val="24"/>
          <w:highlight w:val="none"/>
          <w:lang w:val="en-US" w:eastAsia="zh-CN"/>
        </w:rPr>
        <w:t>2.4食品中污染物限量标准应符合国家标准B2762-2017、GB2761-2017规定或国家卫生、食品安全最新标准，即预包装原料须符合国家相关规定的质量标准、环保标准、技术参数和规格要求，并达到采购方对食材的要求，特殊食品须符合国家有关特殊标准和规定。不得提供假冒伪劣、有毒有害食品。</w:t>
      </w:r>
    </w:p>
    <w:p w14:paraId="0F517C21">
      <w:pPr>
        <w:pStyle w:val="5"/>
        <w:numPr>
          <w:ilvl w:val="0"/>
          <w:numId w:val="0"/>
        </w:numPr>
        <w:ind w:firstLine="480" w:firstLineChars="200"/>
        <w:rPr>
          <w:rFonts w:hint="eastAsia" w:cs="仿宋_GB2312" w:asciiTheme="minorEastAsia" w:hAnsiTheme="minorEastAsia" w:eastAsiaTheme="minorEastAsia"/>
          <w:color w:val="auto"/>
          <w:kern w:val="0"/>
          <w:sz w:val="24"/>
          <w:szCs w:val="24"/>
          <w:highlight w:val="none"/>
          <w:lang w:val="en-US" w:eastAsia="zh-CN"/>
        </w:rPr>
      </w:pPr>
      <w:r>
        <w:rPr>
          <w:rFonts w:hint="eastAsia" w:cs="仿宋_GB2312" w:asciiTheme="minorEastAsia" w:hAnsiTheme="minorEastAsia" w:eastAsiaTheme="minorEastAsia"/>
          <w:color w:val="auto"/>
          <w:kern w:val="0"/>
          <w:sz w:val="24"/>
          <w:szCs w:val="24"/>
          <w:highlight w:val="none"/>
          <w:lang w:val="en-US" w:eastAsia="zh-CN"/>
        </w:rPr>
        <w:t>3.乳制品执行标准:符合GB12693-2010或国家卫生、食品安全最新标准。</w:t>
      </w:r>
    </w:p>
    <w:p w14:paraId="4EC7B719">
      <w:pPr>
        <w:pStyle w:val="5"/>
        <w:numPr>
          <w:ilvl w:val="0"/>
          <w:numId w:val="0"/>
        </w:numPr>
        <w:ind w:firstLine="480" w:firstLineChars="200"/>
        <w:rPr>
          <w:rFonts w:hint="eastAsia" w:cs="仿宋_GB2312" w:asciiTheme="minorEastAsia" w:hAnsiTheme="minorEastAsia" w:eastAsiaTheme="minorEastAsia"/>
          <w:color w:val="auto"/>
          <w:kern w:val="0"/>
          <w:sz w:val="24"/>
          <w:szCs w:val="24"/>
          <w:highlight w:val="none"/>
          <w:lang w:val="en-US" w:eastAsia="zh-CN"/>
        </w:rPr>
      </w:pPr>
      <w:r>
        <w:rPr>
          <w:rFonts w:hint="eastAsia" w:cs="仿宋_GB2312" w:asciiTheme="minorEastAsia" w:hAnsiTheme="minorEastAsia" w:eastAsiaTheme="minorEastAsia"/>
          <w:color w:val="auto"/>
          <w:kern w:val="0"/>
          <w:sz w:val="24"/>
          <w:szCs w:val="24"/>
          <w:highlight w:val="none"/>
          <w:lang w:val="en-US" w:eastAsia="zh-CN"/>
        </w:rPr>
        <w:t>3.1纯牛奶以生牛乳为原料，符合GB25190 国家标准。色泽:呈均匀一致的乳白色，或微黄色。气味:具有牛乳固有的滋味和气味，无异味。组织状态:均匀的液体，无凝块，无粘翻现象。</w:t>
      </w:r>
    </w:p>
    <w:p w14:paraId="45AF9E83">
      <w:pPr>
        <w:pStyle w:val="5"/>
        <w:numPr>
          <w:ilvl w:val="0"/>
          <w:numId w:val="0"/>
        </w:numPr>
        <w:ind w:firstLine="480" w:firstLineChars="200"/>
        <w:rPr>
          <w:rFonts w:hint="eastAsia" w:cs="仿宋_GB2312" w:asciiTheme="minorEastAsia" w:hAnsiTheme="minorEastAsia" w:eastAsiaTheme="minorEastAsia"/>
          <w:color w:val="auto"/>
          <w:kern w:val="0"/>
          <w:sz w:val="24"/>
          <w:szCs w:val="24"/>
          <w:highlight w:val="none"/>
          <w:lang w:val="en-US" w:eastAsia="zh-CN"/>
        </w:rPr>
      </w:pPr>
      <w:r>
        <w:rPr>
          <w:rFonts w:hint="eastAsia" w:cs="仿宋_GB2312" w:asciiTheme="minorEastAsia" w:hAnsiTheme="minorEastAsia" w:eastAsiaTheme="minorEastAsia"/>
          <w:color w:val="auto"/>
          <w:kern w:val="0"/>
          <w:sz w:val="24"/>
          <w:szCs w:val="24"/>
          <w:highlight w:val="none"/>
          <w:lang w:val="en-US" w:eastAsia="zh-CN"/>
        </w:rPr>
        <w:t>3.2调味奶以不低于 80%的生牛乳为源料生产，符合GB25191国家标准。色泽:呈均匀一致的乳白色或具有调味乳应有的色泽。气味:具有调味乳应有的滋味和气味。组织状态:均匀的液体，无凝块，无现象。</w:t>
      </w:r>
    </w:p>
    <w:p w14:paraId="1139602D">
      <w:pPr>
        <w:pStyle w:val="5"/>
        <w:numPr>
          <w:ilvl w:val="0"/>
          <w:numId w:val="0"/>
        </w:numPr>
        <w:ind w:firstLine="480" w:firstLineChars="200"/>
        <w:rPr>
          <w:rFonts w:hint="eastAsia" w:cs="仿宋_GB2312" w:asciiTheme="minorEastAsia" w:hAnsiTheme="minorEastAsia" w:eastAsiaTheme="minorEastAsia"/>
          <w:color w:val="auto"/>
          <w:kern w:val="0"/>
          <w:sz w:val="24"/>
          <w:szCs w:val="24"/>
          <w:highlight w:val="none"/>
          <w:lang w:val="en-US" w:eastAsia="zh-CN"/>
        </w:rPr>
      </w:pPr>
      <w:r>
        <w:rPr>
          <w:rFonts w:hint="eastAsia" w:cs="仿宋_GB2312" w:asciiTheme="minorEastAsia" w:hAnsiTheme="minorEastAsia" w:eastAsiaTheme="minorEastAsia"/>
          <w:color w:val="auto"/>
          <w:kern w:val="0"/>
          <w:sz w:val="24"/>
          <w:szCs w:val="24"/>
          <w:highlight w:val="none"/>
          <w:lang w:val="en-US" w:eastAsia="zh-CN"/>
        </w:rPr>
        <w:t>3.3常温保质时间不低于6个月(以生产日期起计算):送达时距保质期满不低于3个月。</w:t>
      </w:r>
    </w:p>
    <w:p w14:paraId="6AC54F53">
      <w:pPr>
        <w:pStyle w:val="5"/>
        <w:numPr>
          <w:ilvl w:val="0"/>
          <w:numId w:val="0"/>
        </w:numPr>
        <w:ind w:firstLine="480" w:firstLineChars="200"/>
        <w:rPr>
          <w:rFonts w:hint="eastAsia" w:cs="仿宋_GB2312" w:asciiTheme="minorEastAsia" w:hAnsiTheme="minorEastAsia" w:eastAsiaTheme="minorEastAsia"/>
          <w:color w:val="auto"/>
          <w:kern w:val="0"/>
          <w:sz w:val="24"/>
          <w:szCs w:val="24"/>
          <w:highlight w:val="none"/>
          <w:lang w:val="en-US" w:eastAsia="zh-CN"/>
        </w:rPr>
      </w:pPr>
      <w:r>
        <w:rPr>
          <w:rFonts w:hint="eastAsia" w:cs="仿宋_GB2312" w:asciiTheme="minorEastAsia" w:hAnsiTheme="minorEastAsia" w:eastAsiaTheme="minorEastAsia"/>
          <w:color w:val="auto"/>
          <w:kern w:val="0"/>
          <w:sz w:val="24"/>
          <w:szCs w:val="24"/>
          <w:highlight w:val="none"/>
          <w:lang w:val="en-US" w:eastAsia="zh-CN"/>
        </w:rPr>
        <w:t>4.调味品、干杂:产品符合国家质量安全检验标准、随货有该批次产品质量检测合格证、包装完好无损、外观无霉变、无斑点、无腐烂变质，有该物品独有的气味、无异味。有效期须在保质期二分之一时间之内，凭出厂合格证与检验员章认质量，具有相关产品检验报告、SC标识及生产许可证编号。</w:t>
      </w:r>
    </w:p>
    <w:p w14:paraId="6A78AAEB">
      <w:pPr>
        <w:pStyle w:val="5"/>
        <w:numPr>
          <w:ilvl w:val="0"/>
          <w:numId w:val="0"/>
        </w:numPr>
        <w:ind w:firstLine="480" w:firstLineChars="200"/>
        <w:rPr>
          <w:rFonts w:hint="eastAsia" w:cs="仿宋_GB2312" w:asciiTheme="minorEastAsia" w:hAnsiTheme="minorEastAsia" w:eastAsiaTheme="minorEastAsia"/>
          <w:color w:val="auto"/>
          <w:kern w:val="0"/>
          <w:sz w:val="24"/>
          <w:szCs w:val="24"/>
          <w:highlight w:val="none"/>
          <w:lang w:val="en-US" w:eastAsia="zh-CN"/>
        </w:rPr>
      </w:pPr>
      <w:r>
        <w:rPr>
          <w:rFonts w:hint="eastAsia" w:cs="仿宋_GB2312" w:asciiTheme="minorEastAsia" w:hAnsiTheme="minorEastAsia" w:eastAsiaTheme="minorEastAsia"/>
          <w:color w:val="auto"/>
          <w:kern w:val="0"/>
          <w:sz w:val="24"/>
          <w:szCs w:val="24"/>
          <w:highlight w:val="none"/>
          <w:lang w:val="en-US" w:eastAsia="zh-CN"/>
        </w:rPr>
        <w:t>5. 肉类:</w:t>
      </w:r>
    </w:p>
    <w:p w14:paraId="1809FB91">
      <w:pPr>
        <w:pStyle w:val="5"/>
        <w:numPr>
          <w:ilvl w:val="0"/>
          <w:numId w:val="0"/>
        </w:numPr>
        <w:ind w:firstLine="480" w:firstLineChars="200"/>
        <w:rPr>
          <w:rFonts w:hint="eastAsia" w:cs="仿宋_GB2312" w:asciiTheme="minorEastAsia" w:hAnsiTheme="minorEastAsia" w:eastAsiaTheme="minorEastAsia"/>
          <w:color w:val="auto"/>
          <w:kern w:val="0"/>
          <w:sz w:val="24"/>
          <w:szCs w:val="24"/>
          <w:highlight w:val="none"/>
          <w:lang w:val="en-US" w:eastAsia="zh-CN"/>
        </w:rPr>
      </w:pPr>
      <w:r>
        <w:rPr>
          <w:rFonts w:hint="eastAsia" w:cs="仿宋_GB2312" w:asciiTheme="minorEastAsia" w:hAnsiTheme="minorEastAsia" w:eastAsiaTheme="minorEastAsia"/>
          <w:color w:val="auto"/>
          <w:kern w:val="0"/>
          <w:sz w:val="24"/>
          <w:szCs w:val="24"/>
          <w:highlight w:val="none"/>
          <w:lang w:val="en-US" w:eastAsia="zh-CN"/>
        </w:rPr>
        <w:t>5.1猪肉(冷鲜肉一级、热鲜肉一级)，执行标准:GB2707-2016或国家卫生、食品安全最新标准，具备卫生监督机构出具的检疫(或检测)合格证明和动物产品检疫(或检测)合格验论印章以及生猪定点屠率厂肉品品质检验合格验印章及追溯体系。其它肉类应符合国家卫生、食品安全最新标准，提供包括定点屠宰卫生防疫合格证明材料、动物检疫(或验测)等相关证明材料。肉类须保证为当日生产的产品，肉身须盖有卫生检疫章，须出具加益地方政府监督所检疫章的动物检授证明。畜肉品须色泽鲜亮、无任何异味、无毛、按压无水迹。禽肉类制品须肉面净、无任何异味、无毛发、表皮处理清洁，大小统一、码放整齐。</w:t>
      </w:r>
    </w:p>
    <w:p w14:paraId="2BDB19DE">
      <w:pPr>
        <w:pStyle w:val="5"/>
        <w:numPr>
          <w:ilvl w:val="0"/>
          <w:numId w:val="0"/>
        </w:numPr>
        <w:ind w:firstLine="480" w:firstLineChars="200"/>
        <w:rPr>
          <w:rFonts w:hint="eastAsia" w:cs="仿宋_GB2312" w:asciiTheme="minorEastAsia" w:hAnsiTheme="minorEastAsia" w:eastAsiaTheme="minorEastAsia"/>
          <w:color w:val="auto"/>
          <w:kern w:val="0"/>
          <w:sz w:val="24"/>
          <w:szCs w:val="24"/>
          <w:highlight w:val="none"/>
          <w:lang w:val="en-US" w:eastAsia="zh-CN"/>
        </w:rPr>
      </w:pPr>
      <w:r>
        <w:rPr>
          <w:rFonts w:hint="eastAsia" w:cs="仿宋_GB2312" w:asciiTheme="minorEastAsia" w:hAnsiTheme="minorEastAsia" w:eastAsiaTheme="minorEastAsia"/>
          <w:color w:val="auto"/>
          <w:kern w:val="0"/>
          <w:sz w:val="24"/>
          <w:szCs w:val="24"/>
          <w:highlight w:val="none"/>
          <w:lang w:val="en-US" w:eastAsia="zh-CN"/>
        </w:rPr>
        <w:t>5.2其他肉类(含禽类)符合《中华人民共和国农业部公告》(第235号)等对动物性食品中兽药最高残留限量的要求。</w:t>
      </w:r>
    </w:p>
    <w:p w14:paraId="325891E8">
      <w:pPr>
        <w:pStyle w:val="5"/>
        <w:numPr>
          <w:ilvl w:val="0"/>
          <w:numId w:val="0"/>
        </w:numPr>
        <w:ind w:firstLine="480" w:firstLineChars="200"/>
        <w:rPr>
          <w:rFonts w:hint="eastAsia" w:cs="仿宋_GB2312" w:asciiTheme="minorEastAsia" w:hAnsiTheme="minorEastAsia" w:eastAsiaTheme="minorEastAsia"/>
          <w:color w:val="auto"/>
          <w:kern w:val="0"/>
          <w:sz w:val="24"/>
          <w:szCs w:val="24"/>
          <w:highlight w:val="none"/>
          <w:lang w:val="en-US" w:eastAsia="zh-CN"/>
        </w:rPr>
      </w:pPr>
      <w:r>
        <w:rPr>
          <w:rFonts w:hint="eastAsia" w:cs="仿宋_GB2312" w:asciiTheme="minorEastAsia" w:hAnsiTheme="minorEastAsia" w:eastAsiaTheme="minorEastAsia"/>
          <w:color w:val="auto"/>
          <w:kern w:val="0"/>
          <w:sz w:val="24"/>
          <w:szCs w:val="24"/>
          <w:highlight w:val="none"/>
          <w:lang w:val="en-US" w:eastAsia="zh-CN"/>
        </w:rPr>
        <w:t>6.蔬莱类须保证无黄叶、枯死叶、无虫、无杂质，须当日采摘，当日供应原莱须保证菜面干净、无明显泥土、码放整齐、无破损、不得过熟或欠熟;冷莱须保证菜面完全干净、无泥土、按筑一标准加工、码放整齐，并按相关规定配送前果样送检后提供具有农药、杀虫剂等残留检测合格的报告。农药残留符合GB2762021《食品安全国家标准食品中农药最大残留限量》中的求。</w:t>
      </w:r>
    </w:p>
    <w:p w14:paraId="4FFF5B8B">
      <w:pPr>
        <w:pStyle w:val="5"/>
        <w:numPr>
          <w:ilvl w:val="0"/>
          <w:numId w:val="0"/>
        </w:numPr>
        <w:ind w:firstLine="480" w:firstLineChars="200"/>
        <w:rPr>
          <w:rFonts w:hint="eastAsia" w:cs="仿宋_GB2312" w:asciiTheme="minorEastAsia" w:hAnsiTheme="minorEastAsia" w:eastAsiaTheme="minorEastAsia"/>
          <w:color w:val="auto"/>
          <w:kern w:val="0"/>
          <w:sz w:val="24"/>
          <w:szCs w:val="24"/>
          <w:highlight w:val="none"/>
          <w:lang w:val="en-US" w:eastAsia="zh-CN"/>
        </w:rPr>
      </w:pPr>
      <w:r>
        <w:rPr>
          <w:rFonts w:hint="eastAsia" w:cs="仿宋_GB2312" w:asciiTheme="minorEastAsia" w:hAnsiTheme="minorEastAsia" w:eastAsiaTheme="minorEastAsia"/>
          <w:color w:val="auto"/>
          <w:kern w:val="0"/>
          <w:sz w:val="24"/>
          <w:szCs w:val="24"/>
          <w:highlight w:val="none"/>
          <w:lang w:val="en-US" w:eastAsia="zh-CN"/>
        </w:rPr>
        <w:t>7.水果类须保证果型匀称，色泽均匀，无干疤、斑点、裂口、腐烂，口好，并按食堂送货前提出的具体要求供货。农药残留符合GB2763-2021《食品安全国家标准食品中农药最大残留限量》中的要求。</w:t>
      </w:r>
    </w:p>
    <w:p w14:paraId="0A3B66D1">
      <w:pPr>
        <w:pStyle w:val="5"/>
        <w:numPr>
          <w:ilvl w:val="0"/>
          <w:numId w:val="0"/>
        </w:numPr>
        <w:ind w:firstLine="480" w:firstLineChars="200"/>
        <w:rPr>
          <w:rFonts w:hint="eastAsia" w:cs="仿宋_GB2312" w:asciiTheme="minorEastAsia" w:hAnsiTheme="minorEastAsia" w:eastAsiaTheme="minorEastAsia"/>
          <w:color w:val="auto"/>
          <w:kern w:val="0"/>
          <w:sz w:val="24"/>
          <w:szCs w:val="24"/>
          <w:highlight w:val="none"/>
          <w:lang w:val="en-US" w:eastAsia="zh-CN"/>
        </w:rPr>
      </w:pPr>
      <w:r>
        <w:rPr>
          <w:rFonts w:hint="eastAsia" w:cs="仿宋_GB2312" w:asciiTheme="minorEastAsia" w:hAnsiTheme="minorEastAsia" w:eastAsiaTheme="minorEastAsia"/>
          <w:color w:val="auto"/>
          <w:kern w:val="0"/>
          <w:sz w:val="24"/>
          <w:szCs w:val="24"/>
          <w:highlight w:val="none"/>
          <w:lang w:val="en-US" w:eastAsia="zh-CN"/>
        </w:rPr>
        <w:t>8.蛋类执行标准:GB2749-2015或国家卫生、食品安全最新标准，散装生鲜禽蛋应有动物产品检疫(或检测)合格证明或出县境动物产品检疫(或检测)合格证明，外地生鲜禽蛋应有其所在地农业部门的检疫(或检测)合格证明或检疫(或检测)脸讫标识。保证新鲜、清洁、无破损;外壳坚固完整，色泽自然有光泽;包装应采用符合国家卫生标准要求的包装材料。</w:t>
      </w:r>
    </w:p>
    <w:p w14:paraId="74E39582">
      <w:pPr>
        <w:pStyle w:val="5"/>
        <w:numPr>
          <w:ilvl w:val="0"/>
          <w:numId w:val="0"/>
        </w:numPr>
        <w:ind w:firstLine="480" w:firstLineChars="200"/>
        <w:rPr>
          <w:rFonts w:hint="eastAsia" w:cs="仿宋_GB2312" w:asciiTheme="minorEastAsia" w:hAnsiTheme="minorEastAsia" w:eastAsiaTheme="minorEastAsia"/>
          <w:color w:val="auto"/>
          <w:kern w:val="0"/>
          <w:sz w:val="24"/>
          <w:szCs w:val="24"/>
          <w:highlight w:val="none"/>
          <w:lang w:val="en-US" w:eastAsia="zh-CN"/>
        </w:rPr>
      </w:pPr>
      <w:r>
        <w:rPr>
          <w:rFonts w:hint="eastAsia" w:cs="仿宋_GB2312" w:asciiTheme="minorEastAsia" w:hAnsiTheme="minorEastAsia" w:eastAsiaTheme="minorEastAsia"/>
          <w:color w:val="auto"/>
          <w:kern w:val="0"/>
          <w:sz w:val="24"/>
          <w:szCs w:val="24"/>
          <w:highlight w:val="none"/>
          <w:lang w:val="en-US" w:eastAsia="zh-CN"/>
        </w:rPr>
        <w:t>9.糕点:产品符合GB20981-2007、GB/T 20977-2007 或国家卫生、食品安全最新标准，随货有该批次产品质量检测合格证，包装完好无损、外观无霉变、无斑点、无腐烂变质，有该物品独有的气味、无异味。有效期须在保质期二分之一时间之内。</w:t>
      </w:r>
    </w:p>
    <w:p w14:paraId="58D62E33">
      <w:pPr>
        <w:pStyle w:val="5"/>
        <w:numPr>
          <w:ilvl w:val="0"/>
          <w:numId w:val="0"/>
        </w:numPr>
        <w:ind w:firstLine="480" w:firstLineChars="200"/>
        <w:rPr>
          <w:rFonts w:hint="eastAsia" w:cs="仿宋_GB2312" w:asciiTheme="minorEastAsia" w:hAnsiTheme="minorEastAsia" w:eastAsiaTheme="minorEastAsia"/>
          <w:color w:val="auto"/>
          <w:kern w:val="0"/>
          <w:sz w:val="24"/>
          <w:szCs w:val="24"/>
          <w:highlight w:val="none"/>
          <w:lang w:val="en-US" w:eastAsia="zh-CN"/>
        </w:rPr>
      </w:pPr>
      <w:r>
        <w:rPr>
          <w:rFonts w:hint="eastAsia" w:cs="仿宋_GB2312" w:asciiTheme="minorEastAsia" w:hAnsiTheme="minorEastAsia" w:eastAsiaTheme="minorEastAsia"/>
          <w:color w:val="auto"/>
          <w:kern w:val="0"/>
          <w:sz w:val="24"/>
          <w:szCs w:val="24"/>
          <w:highlight w:val="none"/>
          <w:lang w:val="en-US" w:eastAsia="zh-CN"/>
        </w:rPr>
        <w:t>10.所有食品均应符合《中华人民共和国食品安全法》所规定的要求和国家及当地最新卫生、食品部门颁发的相关标准。</w:t>
      </w:r>
    </w:p>
    <w:p w14:paraId="695247F7">
      <w:pPr>
        <w:pStyle w:val="5"/>
        <w:numPr>
          <w:ilvl w:val="0"/>
          <w:numId w:val="0"/>
        </w:numPr>
        <w:ind w:firstLine="480" w:firstLineChars="200"/>
        <w:rPr>
          <w:rFonts w:hint="eastAsia" w:cs="仿宋_GB2312" w:asciiTheme="minorEastAsia" w:hAnsiTheme="minorEastAsia" w:eastAsiaTheme="minorEastAsia"/>
          <w:color w:val="auto"/>
          <w:kern w:val="0"/>
          <w:sz w:val="24"/>
          <w:szCs w:val="24"/>
          <w:highlight w:val="none"/>
          <w:lang w:val="en-US" w:eastAsia="zh-CN"/>
        </w:rPr>
      </w:pPr>
      <w:r>
        <w:rPr>
          <w:rFonts w:hint="eastAsia" w:cs="仿宋_GB2312" w:asciiTheme="minorEastAsia" w:hAnsiTheme="minorEastAsia" w:eastAsiaTheme="minorEastAsia"/>
          <w:color w:val="auto"/>
          <w:kern w:val="0"/>
          <w:sz w:val="24"/>
          <w:szCs w:val="24"/>
          <w:highlight w:val="none"/>
          <w:lang w:val="en-US" w:eastAsia="zh-CN"/>
        </w:rPr>
        <w:t>11.比选申请人所提供产品均不得提供转基因食品或利用转基因食品原料加工的成品，均须达到相关食品卫生安全规定，同家有出台新的更高标准的，以新的更高标准为准，保证所提供产品配送到被服务单位时的质量、卫生和安全。</w:t>
      </w:r>
    </w:p>
    <w:p w14:paraId="2D750FF2">
      <w:pPr>
        <w:pStyle w:val="5"/>
        <w:numPr>
          <w:ilvl w:val="0"/>
          <w:numId w:val="0"/>
        </w:numPr>
        <w:ind w:firstLine="480" w:firstLineChars="200"/>
        <w:rPr>
          <w:rFonts w:hint="eastAsia" w:cs="仿宋_GB2312" w:asciiTheme="minorEastAsia" w:hAnsiTheme="minorEastAsia" w:eastAsiaTheme="minorEastAsia"/>
          <w:color w:val="auto"/>
          <w:kern w:val="0"/>
          <w:sz w:val="24"/>
          <w:szCs w:val="24"/>
          <w:highlight w:val="none"/>
          <w:lang w:val="en-US" w:eastAsia="zh-CN"/>
        </w:rPr>
      </w:pPr>
      <w:r>
        <w:rPr>
          <w:rFonts w:hint="eastAsia" w:cs="仿宋_GB2312" w:asciiTheme="minorEastAsia" w:hAnsiTheme="minorEastAsia" w:eastAsiaTheme="minorEastAsia"/>
          <w:color w:val="auto"/>
          <w:kern w:val="0"/>
          <w:sz w:val="24"/>
          <w:szCs w:val="24"/>
          <w:highlight w:val="none"/>
          <w:lang w:val="en-US" w:eastAsia="zh-CN"/>
        </w:rPr>
        <w:t>（二）配送具体要求</w:t>
      </w:r>
    </w:p>
    <w:p w14:paraId="0C3CADD7">
      <w:pPr>
        <w:pStyle w:val="5"/>
        <w:numPr>
          <w:ilvl w:val="0"/>
          <w:numId w:val="0"/>
        </w:numPr>
        <w:ind w:firstLine="480" w:firstLineChars="200"/>
        <w:rPr>
          <w:rFonts w:hint="eastAsia" w:cs="仿宋_GB2312" w:asciiTheme="minorEastAsia" w:hAnsiTheme="minorEastAsia" w:eastAsiaTheme="minorEastAsia"/>
          <w:color w:val="auto"/>
          <w:kern w:val="0"/>
          <w:sz w:val="24"/>
          <w:szCs w:val="24"/>
          <w:highlight w:val="none"/>
          <w:lang w:val="en-US" w:eastAsia="zh-CN"/>
        </w:rPr>
      </w:pPr>
      <w:r>
        <w:rPr>
          <w:rFonts w:hint="eastAsia" w:cs="仿宋_GB2312" w:asciiTheme="minorEastAsia" w:hAnsiTheme="minorEastAsia" w:eastAsiaTheme="minorEastAsia"/>
          <w:color w:val="auto"/>
          <w:kern w:val="0"/>
          <w:sz w:val="24"/>
          <w:szCs w:val="24"/>
          <w:highlight w:val="none"/>
          <w:lang w:val="en-US" w:eastAsia="zh-CN"/>
        </w:rPr>
        <w:t>1.比选申请人须提供配送服务，并在配送时按要求提供产品所涉及的《全国工业产品生产许可证》或《食品生产许可证》或《生猪定点屠宰证》或《动物防疫条件合格证》等国家强制规定材料，不得将采购项目适行任何方式的转包、分包，若发生食品安全事故，由比选申请人承担全部责任。比选申请人成交后，须按比选人要求无条件、保质保量的配送产品，不得以任何理由拒绝配送。</w:t>
      </w:r>
    </w:p>
    <w:p w14:paraId="374B7340">
      <w:pPr>
        <w:pStyle w:val="5"/>
        <w:numPr>
          <w:ilvl w:val="0"/>
          <w:numId w:val="0"/>
        </w:numPr>
        <w:ind w:firstLine="480" w:firstLineChars="200"/>
        <w:rPr>
          <w:rFonts w:hint="eastAsia" w:cs="仿宋_GB2312" w:asciiTheme="minorEastAsia" w:hAnsiTheme="minorEastAsia" w:eastAsiaTheme="minorEastAsia"/>
          <w:color w:val="auto"/>
          <w:kern w:val="0"/>
          <w:sz w:val="24"/>
          <w:szCs w:val="24"/>
          <w:highlight w:val="none"/>
          <w:lang w:val="en-US" w:eastAsia="zh-CN"/>
        </w:rPr>
      </w:pPr>
      <w:r>
        <w:rPr>
          <w:rFonts w:hint="eastAsia" w:cs="仿宋_GB2312" w:asciiTheme="minorEastAsia" w:hAnsiTheme="minorEastAsia" w:eastAsiaTheme="minorEastAsia"/>
          <w:color w:val="auto"/>
          <w:kern w:val="0"/>
          <w:sz w:val="24"/>
          <w:szCs w:val="24"/>
          <w:highlight w:val="none"/>
          <w:lang w:val="en-US" w:eastAsia="zh-CN"/>
        </w:rPr>
        <w:t>2.按照比选人提出的具体时问要求，工作日每天配送比选人需要的食材。</w:t>
      </w:r>
    </w:p>
    <w:p w14:paraId="778D5F95">
      <w:pPr>
        <w:pStyle w:val="5"/>
        <w:numPr>
          <w:ilvl w:val="0"/>
          <w:numId w:val="0"/>
        </w:numPr>
        <w:ind w:firstLine="480" w:firstLineChars="200"/>
        <w:rPr>
          <w:rFonts w:hint="eastAsia" w:cs="仿宋_GB2312" w:asciiTheme="minorEastAsia" w:hAnsiTheme="minorEastAsia" w:eastAsiaTheme="minorEastAsia"/>
          <w:color w:val="auto"/>
          <w:kern w:val="0"/>
          <w:sz w:val="24"/>
          <w:szCs w:val="24"/>
          <w:highlight w:val="none"/>
          <w:lang w:val="en-US" w:eastAsia="zh-CN"/>
        </w:rPr>
      </w:pPr>
      <w:r>
        <w:rPr>
          <w:rFonts w:hint="eastAsia" w:cs="仿宋_GB2312" w:asciiTheme="minorEastAsia" w:hAnsiTheme="minorEastAsia" w:eastAsiaTheme="minorEastAsia"/>
          <w:color w:val="auto"/>
          <w:kern w:val="0"/>
          <w:sz w:val="24"/>
          <w:szCs w:val="24"/>
          <w:highlight w:val="none"/>
          <w:lang w:val="en-US" w:eastAsia="zh-CN"/>
        </w:rPr>
        <w:t>3.遇比选人临时需要临时补货的，比选申请人应及时满足比选人的补货要求。比选申请人为及时满足比选人补货需求，雷制定专门的临时补货响应计划。</w:t>
      </w:r>
    </w:p>
    <w:p w14:paraId="3BDF7712">
      <w:pPr>
        <w:pStyle w:val="5"/>
        <w:numPr>
          <w:ilvl w:val="0"/>
          <w:numId w:val="0"/>
        </w:numPr>
        <w:ind w:firstLine="480" w:firstLineChars="200"/>
        <w:rPr>
          <w:rFonts w:hint="eastAsia" w:cs="仿宋_GB2312" w:asciiTheme="minorEastAsia" w:hAnsiTheme="minorEastAsia" w:eastAsiaTheme="minorEastAsia"/>
          <w:color w:val="auto"/>
          <w:kern w:val="0"/>
          <w:sz w:val="24"/>
          <w:szCs w:val="24"/>
          <w:highlight w:val="none"/>
          <w:lang w:val="en-US" w:eastAsia="zh-CN"/>
        </w:rPr>
      </w:pPr>
      <w:r>
        <w:rPr>
          <w:rFonts w:hint="eastAsia" w:cs="仿宋_GB2312" w:asciiTheme="minorEastAsia" w:hAnsiTheme="minorEastAsia" w:eastAsiaTheme="minorEastAsia"/>
          <w:color w:val="auto"/>
          <w:kern w:val="0"/>
          <w:sz w:val="24"/>
          <w:szCs w:val="24"/>
          <w:highlight w:val="none"/>
          <w:lang w:val="en-US" w:eastAsia="zh-CN"/>
        </w:rPr>
        <w:t>4.比选申请人应做好食品安全的保障工作。</w:t>
      </w:r>
    </w:p>
    <w:p w14:paraId="0C6BF9D2">
      <w:pPr>
        <w:pStyle w:val="5"/>
        <w:numPr>
          <w:ilvl w:val="0"/>
          <w:numId w:val="0"/>
        </w:numPr>
        <w:ind w:firstLine="480" w:firstLineChars="200"/>
        <w:rPr>
          <w:rFonts w:hint="eastAsia" w:cs="仿宋_GB2312" w:asciiTheme="minorEastAsia" w:hAnsiTheme="minorEastAsia" w:eastAsiaTheme="minorEastAsia"/>
          <w:color w:val="auto"/>
          <w:kern w:val="0"/>
          <w:sz w:val="24"/>
          <w:szCs w:val="24"/>
          <w:highlight w:val="none"/>
          <w:lang w:val="en-US" w:eastAsia="zh-CN"/>
        </w:rPr>
      </w:pPr>
      <w:r>
        <w:rPr>
          <w:rFonts w:hint="eastAsia" w:cs="仿宋_GB2312" w:asciiTheme="minorEastAsia" w:hAnsiTheme="minorEastAsia" w:eastAsiaTheme="minorEastAsia"/>
          <w:color w:val="auto"/>
          <w:kern w:val="0"/>
          <w:sz w:val="24"/>
          <w:szCs w:val="24"/>
          <w:highlight w:val="none"/>
          <w:lang w:val="en-US" w:eastAsia="zh-CN"/>
        </w:rPr>
        <w:t>4.1建立出入库台账。配送比选申请人对所供产品的食品安全负责，比选申请人建立24 小时监控体系，在所有的库房安装24小时有声监控设备，大米、面、油须粘贴印有比选申请人详细信息的封条。所有配送产品在配送前，须自行查验。所有户进行入库登记备案，在出库前再次检查产品的有效期、包装等。肉类产品留48 小时，其他产品留样保存一周。</w:t>
      </w:r>
    </w:p>
    <w:p w14:paraId="15B3AF31">
      <w:pPr>
        <w:pStyle w:val="5"/>
        <w:numPr>
          <w:ilvl w:val="0"/>
          <w:numId w:val="0"/>
        </w:numPr>
        <w:ind w:firstLine="480" w:firstLineChars="200"/>
        <w:rPr>
          <w:rFonts w:hint="eastAsia" w:cs="仿宋_GB2312" w:asciiTheme="minorEastAsia" w:hAnsiTheme="minorEastAsia" w:eastAsiaTheme="minorEastAsia"/>
          <w:color w:val="auto"/>
          <w:kern w:val="0"/>
          <w:sz w:val="24"/>
          <w:szCs w:val="24"/>
          <w:highlight w:val="none"/>
          <w:lang w:val="en-US" w:eastAsia="zh-CN"/>
        </w:rPr>
      </w:pPr>
      <w:r>
        <w:rPr>
          <w:rFonts w:hint="eastAsia" w:cs="仿宋_GB2312" w:asciiTheme="minorEastAsia" w:hAnsiTheme="minorEastAsia" w:eastAsiaTheme="minorEastAsia"/>
          <w:color w:val="auto"/>
          <w:kern w:val="0"/>
          <w:sz w:val="24"/>
          <w:szCs w:val="24"/>
          <w:highlight w:val="none"/>
          <w:lang w:val="en-US" w:eastAsia="zh-CN"/>
        </w:rPr>
        <w:t>4.2比选申请人应在配送过程中做好食材的保鲜、保质措施，但不得喷酒害物质进行保鲜、保质。</w:t>
      </w:r>
    </w:p>
    <w:p w14:paraId="646693D0">
      <w:pPr>
        <w:pStyle w:val="5"/>
        <w:numPr>
          <w:ilvl w:val="0"/>
          <w:numId w:val="0"/>
        </w:numPr>
        <w:ind w:firstLine="480" w:firstLineChars="200"/>
        <w:rPr>
          <w:rFonts w:hint="eastAsia" w:cs="仿宋_GB2312" w:asciiTheme="minorEastAsia" w:hAnsiTheme="minorEastAsia" w:eastAsiaTheme="minorEastAsia"/>
          <w:color w:val="auto"/>
          <w:kern w:val="0"/>
          <w:sz w:val="24"/>
          <w:szCs w:val="24"/>
          <w:highlight w:val="none"/>
          <w:lang w:val="en-US" w:eastAsia="zh-CN"/>
        </w:rPr>
      </w:pPr>
      <w:r>
        <w:rPr>
          <w:rFonts w:hint="eastAsia" w:cs="仿宋_GB2312" w:asciiTheme="minorEastAsia" w:hAnsiTheme="minorEastAsia" w:eastAsiaTheme="minorEastAsia"/>
          <w:color w:val="auto"/>
          <w:kern w:val="0"/>
          <w:sz w:val="24"/>
          <w:szCs w:val="24"/>
          <w:highlight w:val="none"/>
          <w:lang w:val="en-US" w:eastAsia="zh-CN"/>
        </w:rPr>
        <w:t>4.3比选申请人拟为本项目配备自有或租赁的固定食材仓储场，提供自有身的冷藏冷冻库房。</w:t>
      </w:r>
    </w:p>
    <w:p w14:paraId="032F3789">
      <w:pPr>
        <w:pStyle w:val="5"/>
        <w:numPr>
          <w:ilvl w:val="0"/>
          <w:numId w:val="0"/>
        </w:numPr>
        <w:ind w:firstLine="480" w:firstLineChars="200"/>
        <w:rPr>
          <w:rFonts w:hint="eastAsia" w:cs="仿宋_GB2312" w:asciiTheme="minorEastAsia" w:hAnsiTheme="minorEastAsia" w:eastAsiaTheme="minorEastAsia"/>
          <w:color w:val="auto"/>
          <w:kern w:val="0"/>
          <w:sz w:val="24"/>
          <w:szCs w:val="24"/>
          <w:highlight w:val="none"/>
          <w:lang w:val="en-US" w:eastAsia="zh-CN"/>
        </w:rPr>
      </w:pPr>
      <w:r>
        <w:rPr>
          <w:rFonts w:hint="eastAsia" w:cs="仿宋_GB2312" w:asciiTheme="minorEastAsia" w:hAnsiTheme="minorEastAsia" w:eastAsiaTheme="minorEastAsia"/>
          <w:color w:val="auto"/>
          <w:kern w:val="0"/>
          <w:sz w:val="24"/>
          <w:szCs w:val="24"/>
          <w:highlight w:val="none"/>
          <w:lang w:val="en-US" w:eastAsia="zh-CN"/>
        </w:rPr>
        <w:t>4.4比选申请人为本项目指定使用的配送车辆，其中冷藏车至少1台，且关卫生要求并具有有效的相关证件，做到每日满、消毒并做好消毒记录。3.5比选申请人在服务期内应按比选人的要求，提供产品的价格、检疫(或报告、相关许可证等，应积极配合相关部门的监督检查。</w:t>
      </w:r>
    </w:p>
    <w:p w14:paraId="14AE1628">
      <w:pPr>
        <w:pStyle w:val="5"/>
        <w:numPr>
          <w:ilvl w:val="0"/>
          <w:numId w:val="0"/>
        </w:numPr>
        <w:ind w:firstLine="480" w:firstLineChars="200"/>
        <w:rPr>
          <w:rFonts w:hint="eastAsia" w:cs="仿宋_GB2312" w:asciiTheme="minorEastAsia" w:hAnsiTheme="minorEastAsia" w:eastAsiaTheme="minorEastAsia"/>
          <w:color w:val="auto"/>
          <w:kern w:val="0"/>
          <w:sz w:val="24"/>
          <w:szCs w:val="24"/>
          <w:highlight w:val="none"/>
          <w:lang w:val="en-US" w:eastAsia="zh-CN"/>
        </w:rPr>
      </w:pPr>
      <w:r>
        <w:rPr>
          <w:rFonts w:hint="eastAsia" w:cs="仿宋_GB2312" w:asciiTheme="minorEastAsia" w:hAnsiTheme="minorEastAsia" w:eastAsiaTheme="minorEastAsia"/>
          <w:color w:val="auto"/>
          <w:kern w:val="0"/>
          <w:sz w:val="24"/>
          <w:szCs w:val="24"/>
          <w:highlight w:val="none"/>
          <w:lang w:val="en-US" w:eastAsia="zh-CN"/>
        </w:rPr>
        <w:t>5.比选申请人须保存从配送车辆出库(出发地)到被服务单位接收产品为车记录及台帐。比选申请人应自行负责所供物资的运输及装卸，负竟搬运货物至主位置。负责承运、搬运的人员安全、货物安全及其风险，并承担全部用。在配送运输中要确保安全。比选申请人配送车辆须为固定车辆，若车辆需要更换比选人同意后方可更换。车辆进入被服务单位场跑后，应缓速慢行，听从被位工作人员指挥。在确保被服务单位人员安全的前提下方可运输装卸。在运卸过程中发生的一切安全事故，由比选申请人负责处置，并依法承担责任，</w:t>
      </w:r>
    </w:p>
    <w:p w14:paraId="18765B7A">
      <w:pPr>
        <w:pStyle w:val="5"/>
        <w:numPr>
          <w:ilvl w:val="0"/>
          <w:numId w:val="0"/>
        </w:numPr>
        <w:ind w:firstLine="480" w:firstLineChars="200"/>
        <w:rPr>
          <w:rFonts w:hint="eastAsia" w:cs="仿宋_GB2312" w:asciiTheme="minorEastAsia" w:hAnsiTheme="minorEastAsia" w:eastAsiaTheme="minorEastAsia"/>
          <w:color w:val="auto"/>
          <w:kern w:val="0"/>
          <w:sz w:val="24"/>
          <w:szCs w:val="24"/>
          <w:highlight w:val="none"/>
          <w:lang w:val="en-US" w:eastAsia="zh-CN"/>
        </w:rPr>
      </w:pPr>
      <w:r>
        <w:rPr>
          <w:rFonts w:hint="eastAsia" w:cs="仿宋_GB2312" w:asciiTheme="minorEastAsia" w:hAnsiTheme="minorEastAsia" w:eastAsiaTheme="minorEastAsia"/>
          <w:color w:val="auto"/>
          <w:kern w:val="0"/>
          <w:sz w:val="24"/>
          <w:szCs w:val="24"/>
          <w:highlight w:val="none"/>
          <w:lang w:val="en-US" w:eastAsia="zh-CN"/>
        </w:rPr>
        <w:t>6出现以下几种情况的，比选申请人将无条件的接受比选人的退换货要求;即补送:</w:t>
      </w:r>
    </w:p>
    <w:p w14:paraId="75EC6491">
      <w:pPr>
        <w:pStyle w:val="5"/>
        <w:numPr>
          <w:ilvl w:val="0"/>
          <w:numId w:val="0"/>
        </w:numPr>
        <w:ind w:firstLine="480" w:firstLineChars="200"/>
        <w:rPr>
          <w:rFonts w:hint="eastAsia" w:cs="仿宋_GB2312" w:asciiTheme="minorEastAsia" w:hAnsiTheme="minorEastAsia" w:eastAsiaTheme="minorEastAsia"/>
          <w:color w:val="auto"/>
          <w:kern w:val="0"/>
          <w:sz w:val="24"/>
          <w:szCs w:val="24"/>
          <w:highlight w:val="none"/>
          <w:lang w:val="en-US" w:eastAsia="zh-CN"/>
        </w:rPr>
      </w:pPr>
      <w:r>
        <w:rPr>
          <w:rFonts w:hint="eastAsia" w:cs="仿宋_GB2312" w:asciiTheme="minorEastAsia" w:hAnsiTheme="minorEastAsia" w:eastAsiaTheme="minorEastAsia"/>
          <w:color w:val="auto"/>
          <w:kern w:val="0"/>
          <w:sz w:val="24"/>
          <w:szCs w:val="24"/>
          <w:highlight w:val="none"/>
          <w:lang w:val="en-US" w:eastAsia="zh-CN"/>
        </w:rPr>
        <w:t>6.1在将货物运送到被服务单位，有货物数量不达标的:</w:t>
      </w:r>
    </w:p>
    <w:p w14:paraId="5DF835FE">
      <w:pPr>
        <w:pStyle w:val="5"/>
        <w:numPr>
          <w:ilvl w:val="0"/>
          <w:numId w:val="0"/>
        </w:numPr>
        <w:ind w:firstLine="480" w:firstLineChars="200"/>
        <w:rPr>
          <w:rFonts w:hint="eastAsia" w:cs="仿宋_GB2312" w:asciiTheme="minorEastAsia" w:hAnsiTheme="minorEastAsia" w:eastAsiaTheme="minorEastAsia"/>
          <w:color w:val="auto"/>
          <w:kern w:val="0"/>
          <w:sz w:val="24"/>
          <w:szCs w:val="24"/>
          <w:highlight w:val="none"/>
          <w:lang w:val="en-US" w:eastAsia="zh-CN"/>
        </w:rPr>
      </w:pPr>
      <w:r>
        <w:rPr>
          <w:rFonts w:hint="eastAsia" w:cs="仿宋_GB2312" w:asciiTheme="minorEastAsia" w:hAnsiTheme="minorEastAsia" w:eastAsiaTheme="minorEastAsia"/>
          <w:color w:val="auto"/>
          <w:kern w:val="0"/>
          <w:sz w:val="24"/>
          <w:szCs w:val="24"/>
          <w:highlight w:val="none"/>
          <w:lang w:val="en-US" w:eastAsia="zh-CN"/>
        </w:rPr>
        <w:t>6.2在收货后，比选人发现有不能达到使用要求的货物:</w:t>
      </w:r>
    </w:p>
    <w:p w14:paraId="5E31405A">
      <w:pPr>
        <w:pStyle w:val="5"/>
        <w:numPr>
          <w:ilvl w:val="0"/>
          <w:numId w:val="0"/>
        </w:numPr>
        <w:ind w:firstLine="480" w:firstLineChars="200"/>
        <w:rPr>
          <w:rFonts w:hint="eastAsia" w:cs="仿宋_GB2312" w:asciiTheme="minorEastAsia" w:hAnsiTheme="minorEastAsia" w:eastAsiaTheme="minorEastAsia"/>
          <w:color w:val="auto"/>
          <w:kern w:val="0"/>
          <w:sz w:val="24"/>
          <w:szCs w:val="24"/>
          <w:highlight w:val="none"/>
          <w:lang w:val="en-US" w:eastAsia="zh-CN"/>
        </w:rPr>
      </w:pPr>
      <w:r>
        <w:rPr>
          <w:rFonts w:hint="eastAsia" w:cs="仿宋_GB2312" w:asciiTheme="minorEastAsia" w:hAnsiTheme="minorEastAsia" w:eastAsiaTheme="minorEastAsia"/>
          <w:color w:val="auto"/>
          <w:kern w:val="0"/>
          <w:sz w:val="24"/>
          <w:szCs w:val="24"/>
          <w:highlight w:val="none"/>
          <w:lang w:val="en-US" w:eastAsia="zh-CN"/>
        </w:rPr>
        <w:t>6.3在使用过程中，比选人发现不能满足比选人要求的货物。</w:t>
      </w:r>
    </w:p>
    <w:p w14:paraId="0D9462CB">
      <w:pPr>
        <w:pStyle w:val="5"/>
        <w:numPr>
          <w:ilvl w:val="0"/>
          <w:numId w:val="0"/>
        </w:numPr>
        <w:ind w:firstLine="480" w:firstLineChars="200"/>
        <w:rPr>
          <w:rFonts w:hint="eastAsia" w:cs="仿宋_GB2312" w:asciiTheme="minorEastAsia" w:hAnsiTheme="minorEastAsia" w:eastAsiaTheme="minorEastAsia"/>
          <w:color w:val="auto"/>
          <w:kern w:val="0"/>
          <w:sz w:val="24"/>
          <w:szCs w:val="24"/>
          <w:highlight w:val="none"/>
          <w:lang w:val="en-US" w:eastAsia="zh-CN"/>
        </w:rPr>
      </w:pPr>
      <w:r>
        <w:rPr>
          <w:rFonts w:hint="eastAsia" w:cs="仿宋_GB2312" w:asciiTheme="minorEastAsia" w:hAnsiTheme="minorEastAsia" w:eastAsiaTheme="minorEastAsia"/>
          <w:color w:val="auto"/>
          <w:kern w:val="0"/>
          <w:sz w:val="24"/>
          <w:szCs w:val="24"/>
          <w:highlight w:val="none"/>
          <w:lang w:val="en-US" w:eastAsia="zh-CN"/>
        </w:rPr>
        <w:t>7.如半年内两次出现由于比选申请人未能按要求配送食材(如未能按照定时问及时配送、未按要求配送、配送的食品质量不达标等)造成误餐，采权要求解除合同，比选申请人应赔偿因此带来的一切损失。</w:t>
      </w:r>
    </w:p>
    <w:p w14:paraId="6AA4FC14">
      <w:pPr>
        <w:pStyle w:val="2"/>
        <w:ind w:firstLine="480" w:firstLineChars="200"/>
        <w:rPr>
          <w:rFonts w:hint="eastAsia"/>
          <w:b/>
          <w:bCs/>
          <w:sz w:val="28"/>
          <w:szCs w:val="28"/>
          <w:lang w:val="en-US" w:eastAsia="zh-CN"/>
        </w:rPr>
      </w:pPr>
      <w:r>
        <w:rPr>
          <w:rFonts w:hint="eastAsia" w:cs="仿宋_GB2312" w:asciiTheme="minorEastAsia" w:hAnsiTheme="minorEastAsia" w:eastAsiaTheme="minorEastAsia"/>
          <w:color w:val="auto"/>
          <w:kern w:val="0"/>
          <w:sz w:val="24"/>
          <w:szCs w:val="24"/>
          <w:highlight w:val="none"/>
          <w:lang w:val="en-US" w:eastAsia="zh-CN"/>
        </w:rPr>
        <w:t>8.比选申请人即使提供了所供产品合格的相关检测报告或证明材料，因比选申请人产品导致发生食品安全事故时比选申请人应承担全部责任。</w:t>
      </w:r>
    </w:p>
    <w:p w14:paraId="2FAD8BB4">
      <w:pPr>
        <w:pStyle w:val="6"/>
        <w:spacing w:line="360" w:lineRule="auto"/>
        <w:ind w:left="0" w:leftChars="0" w:firstLine="480"/>
        <w:rPr>
          <w:rFonts w:hint="eastAsia" w:ascii="宋体" w:hAnsi="宋体" w:eastAsia="宋体" w:cs="宋体"/>
          <w:color w:val="auto"/>
          <w:spacing w:val="6"/>
          <w:sz w:val="24"/>
          <w:szCs w:val="24"/>
          <w:lang w:val="en-US" w:eastAsia="zh-CN"/>
        </w:rPr>
      </w:pPr>
      <w:r>
        <w:rPr>
          <w:rFonts w:hint="eastAsia" w:hAnsi="宋体" w:cs="宋体"/>
          <w:color w:val="auto"/>
          <w:spacing w:val="6"/>
          <w:sz w:val="24"/>
          <w:szCs w:val="24"/>
          <w:lang w:val="en-US" w:eastAsia="zh-CN"/>
        </w:rPr>
        <w:t>9</w:t>
      </w:r>
      <w:r>
        <w:rPr>
          <w:rFonts w:hint="eastAsia" w:ascii="宋体" w:hAnsi="宋体" w:eastAsia="宋体" w:cs="宋体"/>
          <w:color w:val="auto"/>
          <w:spacing w:val="6"/>
          <w:sz w:val="24"/>
          <w:szCs w:val="24"/>
          <w:lang w:val="en-US" w:eastAsia="zh-CN"/>
        </w:rPr>
        <w:t>.考核办法</w:t>
      </w:r>
    </w:p>
    <w:p w14:paraId="6C7F8B8F">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宋体" w:hAnsi="宋体" w:eastAsia="宋体" w:cs="宋体"/>
          <w:b/>
          <w:bCs/>
          <w:color w:val="auto"/>
          <w:sz w:val="24"/>
        </w:rPr>
      </w:pPr>
      <w:r>
        <w:rPr>
          <w:rFonts w:hint="eastAsia" w:ascii="宋体" w:hAnsi="宋体" w:cs="宋体"/>
          <w:color w:val="auto"/>
          <w:sz w:val="24"/>
          <w:lang w:eastAsia="zh-CN"/>
        </w:rPr>
        <w:t>比选申请人</w:t>
      </w:r>
      <w:r>
        <w:rPr>
          <w:rFonts w:hint="eastAsia" w:ascii="宋体" w:hAnsi="宋体" w:eastAsia="宋体" w:cs="宋体"/>
          <w:color w:val="auto"/>
          <w:sz w:val="24"/>
        </w:rPr>
        <w:t>须按</w:t>
      </w:r>
      <w:r>
        <w:rPr>
          <w:rFonts w:hint="eastAsia" w:ascii="宋体" w:hAnsi="宋体" w:cs="宋体"/>
          <w:color w:val="auto"/>
          <w:sz w:val="24"/>
          <w:lang w:eastAsia="zh-CN"/>
        </w:rPr>
        <w:t>比选人</w:t>
      </w:r>
      <w:r>
        <w:rPr>
          <w:rFonts w:hint="eastAsia" w:ascii="宋体" w:hAnsi="宋体" w:eastAsia="宋体" w:cs="宋体"/>
          <w:color w:val="auto"/>
          <w:sz w:val="24"/>
        </w:rPr>
        <w:t>的服务考核办法和规定接受考核。</w:t>
      </w:r>
    </w:p>
    <w:p w14:paraId="462A3364">
      <w:pPr>
        <w:keepNext w:val="0"/>
        <w:keepLines w:val="0"/>
        <w:pageBreakBefore w:val="0"/>
        <w:kinsoku/>
        <w:wordWrap/>
        <w:overflowPunct/>
        <w:topLinePunct w:val="0"/>
        <w:autoSpaceDE/>
        <w:autoSpaceDN/>
        <w:bidi w:val="0"/>
        <w:snapToGrid w:val="0"/>
        <w:spacing w:line="360" w:lineRule="auto"/>
        <w:ind w:firstLine="240" w:firstLineChars="100"/>
        <w:textAlignment w:val="auto"/>
        <w:rPr>
          <w:rFonts w:hint="eastAsia" w:ascii="宋体" w:hAnsi="宋体" w:eastAsia="宋体" w:cs="宋体"/>
          <w:color w:val="auto"/>
          <w:sz w:val="24"/>
        </w:rPr>
      </w:pPr>
      <w:r>
        <w:rPr>
          <w:rFonts w:hint="eastAsia" w:ascii="宋体" w:hAnsi="宋体" w:eastAsia="宋体" w:cs="宋体"/>
          <w:color w:val="auto"/>
          <w:sz w:val="24"/>
        </w:rPr>
        <w:t>附件：配送企业质量服务评议考核标准表</w:t>
      </w:r>
    </w:p>
    <w:tbl>
      <w:tblPr>
        <w:tblStyle w:val="7"/>
        <w:tblW w:w="973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77"/>
        <w:gridCol w:w="826"/>
        <w:gridCol w:w="5937"/>
        <w:gridCol w:w="1793"/>
      </w:tblGrid>
      <w:tr w14:paraId="5935DF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jc w:val="center"/>
        </w:trPr>
        <w:tc>
          <w:tcPr>
            <w:tcW w:w="9733" w:type="dxa"/>
            <w:gridSpan w:val="4"/>
            <w:noWrap w:val="0"/>
            <w:vAlign w:val="center"/>
          </w:tcPr>
          <w:p w14:paraId="292EB05D">
            <w:pPr>
              <w:keepNext w:val="0"/>
              <w:keepLines w:val="0"/>
              <w:pageBreakBefore w:val="0"/>
              <w:kinsoku/>
              <w:wordWrap/>
              <w:overflowPunct/>
              <w:topLinePunct w:val="0"/>
              <w:autoSpaceDE/>
              <w:autoSpaceDN/>
              <w:bidi w:val="0"/>
              <w:snapToGrid w:val="0"/>
              <w:spacing w:line="240" w:lineRule="auto"/>
              <w:ind w:firstLine="240" w:firstLineChars="100"/>
              <w:jc w:val="center"/>
              <w:textAlignment w:val="auto"/>
              <w:rPr>
                <w:rFonts w:hint="eastAsia" w:ascii="宋体" w:hAnsi="宋体" w:eastAsia="宋体" w:cs="宋体"/>
                <w:color w:val="auto"/>
                <w:sz w:val="24"/>
              </w:rPr>
            </w:pPr>
            <w:r>
              <w:rPr>
                <w:rFonts w:hint="eastAsia" w:ascii="宋体" w:hAnsi="宋体" w:eastAsia="宋体" w:cs="宋体"/>
                <w:color w:val="auto"/>
                <w:sz w:val="24"/>
              </w:rPr>
              <w:t>配送企业质量服务评议考核标准表（总分 100 分）</w:t>
            </w:r>
          </w:p>
        </w:tc>
      </w:tr>
      <w:tr w14:paraId="1884EB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jc w:val="center"/>
        </w:trPr>
        <w:tc>
          <w:tcPr>
            <w:tcW w:w="1177" w:type="dxa"/>
            <w:vMerge w:val="restart"/>
            <w:noWrap w:val="0"/>
            <w:vAlign w:val="center"/>
          </w:tcPr>
          <w:p w14:paraId="1A86EA12">
            <w:pPr>
              <w:keepNext w:val="0"/>
              <w:keepLines w:val="0"/>
              <w:pageBreakBefore w:val="0"/>
              <w:kinsoku/>
              <w:wordWrap/>
              <w:overflowPunct/>
              <w:topLinePunct w:val="0"/>
              <w:autoSpaceDE/>
              <w:autoSpaceDN/>
              <w:bidi w:val="0"/>
              <w:snapToGrid w:val="0"/>
              <w:spacing w:line="240" w:lineRule="auto"/>
              <w:jc w:val="center"/>
              <w:textAlignment w:val="auto"/>
              <w:rPr>
                <w:rFonts w:hint="eastAsia" w:ascii="宋体" w:hAnsi="宋体" w:eastAsia="宋体" w:cs="宋体"/>
                <w:color w:val="auto"/>
                <w:sz w:val="24"/>
              </w:rPr>
            </w:pPr>
            <w:r>
              <w:rPr>
                <w:rFonts w:hint="eastAsia" w:ascii="宋体" w:hAnsi="宋体" w:eastAsia="宋体" w:cs="宋体"/>
                <w:color w:val="auto"/>
                <w:sz w:val="24"/>
              </w:rPr>
              <w:t>质量类  (90分)</w:t>
            </w:r>
          </w:p>
        </w:tc>
        <w:tc>
          <w:tcPr>
            <w:tcW w:w="826" w:type="dxa"/>
            <w:noWrap w:val="0"/>
            <w:vAlign w:val="center"/>
          </w:tcPr>
          <w:p w14:paraId="5DD91786">
            <w:pPr>
              <w:keepNext w:val="0"/>
              <w:keepLines w:val="0"/>
              <w:pageBreakBefore w:val="0"/>
              <w:kinsoku/>
              <w:wordWrap/>
              <w:overflowPunct/>
              <w:topLinePunct w:val="0"/>
              <w:autoSpaceDE/>
              <w:autoSpaceDN/>
              <w:bidi w:val="0"/>
              <w:snapToGrid w:val="0"/>
              <w:spacing w:line="240" w:lineRule="auto"/>
              <w:jc w:val="center"/>
              <w:textAlignment w:val="auto"/>
              <w:rPr>
                <w:rFonts w:hint="eastAsia" w:ascii="宋体" w:hAnsi="宋体" w:eastAsia="宋体" w:cs="宋体"/>
                <w:color w:val="auto"/>
                <w:sz w:val="24"/>
              </w:rPr>
            </w:pPr>
            <w:r>
              <w:rPr>
                <w:rFonts w:hint="eastAsia" w:ascii="宋体" w:hAnsi="宋体" w:eastAsia="宋体" w:cs="宋体"/>
                <w:color w:val="auto"/>
                <w:sz w:val="24"/>
              </w:rPr>
              <w:t>序号</w:t>
            </w:r>
          </w:p>
        </w:tc>
        <w:tc>
          <w:tcPr>
            <w:tcW w:w="5937" w:type="dxa"/>
            <w:noWrap w:val="0"/>
            <w:vAlign w:val="center"/>
          </w:tcPr>
          <w:p w14:paraId="40B80D58">
            <w:pPr>
              <w:keepNext w:val="0"/>
              <w:keepLines w:val="0"/>
              <w:pageBreakBefore w:val="0"/>
              <w:kinsoku/>
              <w:wordWrap/>
              <w:overflowPunct/>
              <w:topLinePunct w:val="0"/>
              <w:autoSpaceDE/>
              <w:autoSpaceDN/>
              <w:bidi w:val="0"/>
              <w:snapToGrid w:val="0"/>
              <w:spacing w:line="240" w:lineRule="auto"/>
              <w:ind w:firstLine="240" w:firstLineChars="100"/>
              <w:jc w:val="center"/>
              <w:textAlignment w:val="auto"/>
              <w:rPr>
                <w:rFonts w:hint="eastAsia" w:ascii="宋体" w:hAnsi="宋体" w:eastAsia="宋体" w:cs="宋体"/>
                <w:color w:val="auto"/>
                <w:sz w:val="24"/>
              </w:rPr>
            </w:pPr>
            <w:r>
              <w:rPr>
                <w:rFonts w:hint="eastAsia" w:ascii="宋体" w:hAnsi="宋体" w:eastAsia="宋体" w:cs="宋体"/>
                <w:color w:val="auto"/>
                <w:sz w:val="24"/>
              </w:rPr>
              <w:t>考核标准</w:t>
            </w:r>
          </w:p>
        </w:tc>
        <w:tc>
          <w:tcPr>
            <w:tcW w:w="1793" w:type="dxa"/>
            <w:noWrap w:val="0"/>
            <w:vAlign w:val="center"/>
          </w:tcPr>
          <w:p w14:paraId="4CA064B2">
            <w:pPr>
              <w:keepNext w:val="0"/>
              <w:keepLines w:val="0"/>
              <w:pageBreakBefore w:val="0"/>
              <w:kinsoku/>
              <w:wordWrap/>
              <w:overflowPunct/>
              <w:topLinePunct w:val="0"/>
              <w:autoSpaceDE/>
              <w:autoSpaceDN/>
              <w:bidi w:val="0"/>
              <w:snapToGrid w:val="0"/>
              <w:spacing w:line="240" w:lineRule="auto"/>
              <w:jc w:val="center"/>
              <w:textAlignment w:val="auto"/>
              <w:rPr>
                <w:rFonts w:hint="eastAsia" w:ascii="宋体" w:hAnsi="宋体" w:eastAsia="宋体" w:cs="宋体"/>
                <w:color w:val="auto"/>
                <w:sz w:val="24"/>
                <w:lang w:eastAsia="zh-CN"/>
              </w:rPr>
            </w:pPr>
            <w:r>
              <w:rPr>
                <w:rFonts w:hint="eastAsia" w:ascii="宋体" w:hAnsi="宋体" w:cs="宋体"/>
                <w:color w:val="auto"/>
                <w:sz w:val="24"/>
                <w:lang w:eastAsia="zh-CN"/>
              </w:rPr>
              <w:t>说明</w:t>
            </w:r>
          </w:p>
        </w:tc>
      </w:tr>
      <w:tr w14:paraId="196474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9" w:hRule="atLeast"/>
          <w:jc w:val="center"/>
        </w:trPr>
        <w:tc>
          <w:tcPr>
            <w:tcW w:w="1177" w:type="dxa"/>
            <w:vMerge w:val="continue"/>
            <w:noWrap w:val="0"/>
            <w:vAlign w:val="top"/>
          </w:tcPr>
          <w:p w14:paraId="3647D9A3">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p>
        </w:tc>
        <w:tc>
          <w:tcPr>
            <w:tcW w:w="826" w:type="dxa"/>
            <w:noWrap w:val="0"/>
            <w:vAlign w:val="center"/>
          </w:tcPr>
          <w:p w14:paraId="091123E3">
            <w:pPr>
              <w:keepNext w:val="0"/>
              <w:keepLines w:val="0"/>
              <w:pageBreakBefore w:val="0"/>
              <w:kinsoku/>
              <w:wordWrap/>
              <w:overflowPunct/>
              <w:topLinePunct w:val="0"/>
              <w:autoSpaceDE/>
              <w:autoSpaceDN/>
              <w:bidi w:val="0"/>
              <w:snapToGrid w:val="0"/>
              <w:spacing w:line="240" w:lineRule="auto"/>
              <w:ind w:firstLine="0" w:firstLineChars="0"/>
              <w:jc w:val="center"/>
              <w:textAlignment w:val="auto"/>
              <w:rPr>
                <w:rFonts w:hint="eastAsia" w:ascii="宋体" w:hAnsi="宋体" w:eastAsia="宋体" w:cs="宋体"/>
                <w:color w:val="auto"/>
                <w:sz w:val="24"/>
              </w:rPr>
            </w:pPr>
            <w:r>
              <w:rPr>
                <w:rFonts w:hint="eastAsia" w:ascii="宋体" w:hAnsi="宋体" w:eastAsia="宋体" w:cs="宋体"/>
                <w:color w:val="auto"/>
                <w:sz w:val="24"/>
              </w:rPr>
              <w:t>1</w:t>
            </w:r>
          </w:p>
        </w:tc>
        <w:tc>
          <w:tcPr>
            <w:tcW w:w="5937" w:type="dxa"/>
            <w:noWrap w:val="0"/>
            <w:vAlign w:val="center"/>
          </w:tcPr>
          <w:p w14:paraId="4C7DE870">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r>
              <w:rPr>
                <w:rFonts w:hint="eastAsia" w:ascii="宋体" w:hAnsi="宋体" w:eastAsia="宋体" w:cs="宋体"/>
                <w:color w:val="auto"/>
                <w:sz w:val="24"/>
              </w:rPr>
              <w:t>食材不新鲜有变质倾向的</w:t>
            </w:r>
          </w:p>
        </w:tc>
        <w:tc>
          <w:tcPr>
            <w:tcW w:w="1793" w:type="dxa"/>
            <w:noWrap w:val="0"/>
            <w:vAlign w:val="center"/>
          </w:tcPr>
          <w:p w14:paraId="599C0983">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eastAsia" w:ascii="宋体" w:hAnsi="宋体" w:eastAsia="宋体" w:cs="宋体"/>
                <w:color w:val="auto"/>
                <w:sz w:val="24"/>
              </w:rPr>
            </w:pPr>
            <w:r>
              <w:rPr>
                <w:rFonts w:hint="eastAsia" w:ascii="宋体" w:hAnsi="宋体" w:eastAsia="宋体" w:cs="宋体"/>
                <w:i w:val="0"/>
                <w:iCs w:val="0"/>
                <w:color w:val="auto"/>
                <w:kern w:val="0"/>
                <w:sz w:val="24"/>
                <w:szCs w:val="24"/>
                <w:u w:val="none"/>
                <w:lang w:val="en-US" w:eastAsia="zh-CN" w:bidi="ar"/>
              </w:rPr>
              <w:t>每次扣2分</w:t>
            </w:r>
          </w:p>
        </w:tc>
      </w:tr>
      <w:tr w14:paraId="53BF04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9" w:hRule="atLeast"/>
          <w:jc w:val="center"/>
        </w:trPr>
        <w:tc>
          <w:tcPr>
            <w:tcW w:w="1177" w:type="dxa"/>
            <w:vMerge w:val="continue"/>
            <w:noWrap w:val="0"/>
            <w:vAlign w:val="top"/>
          </w:tcPr>
          <w:p w14:paraId="55B0628F">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p>
        </w:tc>
        <w:tc>
          <w:tcPr>
            <w:tcW w:w="826" w:type="dxa"/>
            <w:noWrap w:val="0"/>
            <w:vAlign w:val="center"/>
          </w:tcPr>
          <w:p w14:paraId="5AE9C276">
            <w:pPr>
              <w:keepNext w:val="0"/>
              <w:keepLines w:val="0"/>
              <w:pageBreakBefore w:val="0"/>
              <w:kinsoku/>
              <w:wordWrap/>
              <w:overflowPunct/>
              <w:topLinePunct w:val="0"/>
              <w:autoSpaceDE/>
              <w:autoSpaceDN/>
              <w:bidi w:val="0"/>
              <w:snapToGrid w:val="0"/>
              <w:spacing w:line="240" w:lineRule="auto"/>
              <w:ind w:firstLine="0" w:firstLineChars="0"/>
              <w:jc w:val="center"/>
              <w:textAlignment w:val="auto"/>
              <w:rPr>
                <w:rFonts w:hint="eastAsia" w:ascii="宋体" w:hAnsi="宋体" w:eastAsia="宋体" w:cs="宋体"/>
                <w:color w:val="auto"/>
                <w:sz w:val="24"/>
              </w:rPr>
            </w:pPr>
            <w:r>
              <w:rPr>
                <w:rFonts w:hint="eastAsia" w:ascii="宋体" w:hAnsi="宋体" w:eastAsia="宋体" w:cs="宋体"/>
                <w:color w:val="auto"/>
                <w:sz w:val="24"/>
              </w:rPr>
              <w:t>2</w:t>
            </w:r>
          </w:p>
        </w:tc>
        <w:tc>
          <w:tcPr>
            <w:tcW w:w="5937" w:type="dxa"/>
            <w:noWrap w:val="0"/>
            <w:vAlign w:val="center"/>
          </w:tcPr>
          <w:p w14:paraId="4E276390">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r>
              <w:rPr>
                <w:rFonts w:hint="eastAsia" w:ascii="宋体" w:hAnsi="宋体" w:eastAsia="宋体" w:cs="宋体"/>
                <w:color w:val="auto"/>
                <w:sz w:val="24"/>
              </w:rPr>
              <w:t>肉类制品有异味的</w:t>
            </w:r>
          </w:p>
        </w:tc>
        <w:tc>
          <w:tcPr>
            <w:tcW w:w="1793" w:type="dxa"/>
            <w:noWrap w:val="0"/>
            <w:vAlign w:val="center"/>
          </w:tcPr>
          <w:p w14:paraId="694EA2D8">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eastAsia" w:ascii="宋体" w:hAnsi="宋体" w:eastAsia="宋体" w:cs="宋体"/>
                <w:color w:val="auto"/>
                <w:kern w:val="0"/>
                <w:sz w:val="24"/>
                <w:u w:val="none"/>
                <w:lang w:bidi="ar"/>
              </w:rPr>
            </w:pPr>
            <w:r>
              <w:rPr>
                <w:rFonts w:hint="eastAsia" w:ascii="宋体" w:hAnsi="宋体" w:eastAsia="宋体" w:cs="宋体"/>
                <w:i w:val="0"/>
                <w:iCs w:val="0"/>
                <w:color w:val="auto"/>
                <w:kern w:val="0"/>
                <w:sz w:val="24"/>
                <w:szCs w:val="24"/>
                <w:u w:val="none"/>
                <w:lang w:val="en-US" w:eastAsia="zh-CN" w:bidi="ar"/>
              </w:rPr>
              <w:t>每次扣5分</w:t>
            </w:r>
          </w:p>
        </w:tc>
      </w:tr>
      <w:tr w14:paraId="1460F5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jc w:val="center"/>
        </w:trPr>
        <w:tc>
          <w:tcPr>
            <w:tcW w:w="1177" w:type="dxa"/>
            <w:vMerge w:val="continue"/>
            <w:noWrap w:val="0"/>
            <w:vAlign w:val="top"/>
          </w:tcPr>
          <w:p w14:paraId="785D9914">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p>
        </w:tc>
        <w:tc>
          <w:tcPr>
            <w:tcW w:w="826" w:type="dxa"/>
            <w:noWrap w:val="0"/>
            <w:vAlign w:val="center"/>
          </w:tcPr>
          <w:p w14:paraId="24712767">
            <w:pPr>
              <w:keepNext w:val="0"/>
              <w:keepLines w:val="0"/>
              <w:pageBreakBefore w:val="0"/>
              <w:kinsoku/>
              <w:wordWrap/>
              <w:overflowPunct/>
              <w:topLinePunct w:val="0"/>
              <w:autoSpaceDE/>
              <w:autoSpaceDN/>
              <w:bidi w:val="0"/>
              <w:snapToGrid w:val="0"/>
              <w:spacing w:line="240" w:lineRule="auto"/>
              <w:ind w:firstLine="0" w:firstLineChars="0"/>
              <w:jc w:val="center"/>
              <w:textAlignment w:val="auto"/>
              <w:rPr>
                <w:rFonts w:hint="eastAsia" w:ascii="宋体" w:hAnsi="宋体" w:eastAsia="宋体" w:cs="宋体"/>
                <w:color w:val="auto"/>
                <w:sz w:val="24"/>
              </w:rPr>
            </w:pPr>
            <w:r>
              <w:rPr>
                <w:rFonts w:hint="eastAsia" w:ascii="宋体" w:hAnsi="宋体" w:eastAsia="宋体" w:cs="宋体"/>
                <w:color w:val="auto"/>
                <w:sz w:val="24"/>
              </w:rPr>
              <w:t>3</w:t>
            </w:r>
          </w:p>
        </w:tc>
        <w:tc>
          <w:tcPr>
            <w:tcW w:w="5937" w:type="dxa"/>
            <w:noWrap w:val="0"/>
            <w:vAlign w:val="center"/>
          </w:tcPr>
          <w:p w14:paraId="2B450CA1">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r>
              <w:rPr>
                <w:rFonts w:hint="eastAsia" w:ascii="宋体" w:hAnsi="宋体" w:eastAsia="宋体" w:cs="宋体"/>
                <w:color w:val="auto"/>
                <w:sz w:val="24"/>
              </w:rPr>
              <w:t>食材被水浸泡后增重的</w:t>
            </w:r>
          </w:p>
        </w:tc>
        <w:tc>
          <w:tcPr>
            <w:tcW w:w="1793" w:type="dxa"/>
            <w:noWrap w:val="0"/>
            <w:vAlign w:val="center"/>
          </w:tcPr>
          <w:p w14:paraId="05D0C020">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eastAsia" w:ascii="宋体" w:hAnsi="宋体" w:eastAsia="宋体" w:cs="宋体"/>
                <w:color w:val="auto"/>
                <w:kern w:val="0"/>
                <w:sz w:val="24"/>
                <w:u w:val="none"/>
                <w:lang w:bidi="ar"/>
              </w:rPr>
            </w:pPr>
            <w:r>
              <w:rPr>
                <w:rFonts w:hint="eastAsia" w:ascii="宋体" w:hAnsi="宋体" w:eastAsia="宋体" w:cs="宋体"/>
                <w:i w:val="0"/>
                <w:iCs w:val="0"/>
                <w:color w:val="auto"/>
                <w:kern w:val="0"/>
                <w:sz w:val="24"/>
                <w:szCs w:val="24"/>
                <w:u w:val="none"/>
                <w:lang w:val="en-US" w:eastAsia="zh-CN" w:bidi="ar"/>
              </w:rPr>
              <w:t>每次扣2分</w:t>
            </w:r>
          </w:p>
        </w:tc>
      </w:tr>
      <w:tr w14:paraId="244814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9" w:hRule="atLeast"/>
          <w:jc w:val="center"/>
        </w:trPr>
        <w:tc>
          <w:tcPr>
            <w:tcW w:w="1177" w:type="dxa"/>
            <w:vMerge w:val="continue"/>
            <w:noWrap w:val="0"/>
            <w:vAlign w:val="top"/>
          </w:tcPr>
          <w:p w14:paraId="132497C9">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p>
        </w:tc>
        <w:tc>
          <w:tcPr>
            <w:tcW w:w="826" w:type="dxa"/>
            <w:noWrap w:val="0"/>
            <w:vAlign w:val="center"/>
          </w:tcPr>
          <w:p w14:paraId="06F5D12D">
            <w:pPr>
              <w:keepNext w:val="0"/>
              <w:keepLines w:val="0"/>
              <w:pageBreakBefore w:val="0"/>
              <w:kinsoku/>
              <w:wordWrap/>
              <w:overflowPunct/>
              <w:topLinePunct w:val="0"/>
              <w:autoSpaceDE/>
              <w:autoSpaceDN/>
              <w:bidi w:val="0"/>
              <w:snapToGrid w:val="0"/>
              <w:spacing w:line="240" w:lineRule="auto"/>
              <w:ind w:firstLine="0" w:firstLineChars="0"/>
              <w:jc w:val="center"/>
              <w:textAlignment w:val="auto"/>
              <w:rPr>
                <w:rFonts w:hint="eastAsia" w:ascii="宋体" w:hAnsi="宋体" w:eastAsia="宋体" w:cs="宋体"/>
                <w:color w:val="auto"/>
                <w:sz w:val="24"/>
              </w:rPr>
            </w:pPr>
            <w:r>
              <w:rPr>
                <w:rFonts w:hint="eastAsia" w:ascii="宋体" w:hAnsi="宋体" w:eastAsia="宋体" w:cs="宋体"/>
                <w:color w:val="auto"/>
                <w:sz w:val="24"/>
              </w:rPr>
              <w:t>4</w:t>
            </w:r>
          </w:p>
        </w:tc>
        <w:tc>
          <w:tcPr>
            <w:tcW w:w="5937" w:type="dxa"/>
            <w:noWrap w:val="0"/>
            <w:vAlign w:val="center"/>
          </w:tcPr>
          <w:p w14:paraId="781FCA72">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r>
              <w:rPr>
                <w:rFonts w:hint="eastAsia" w:ascii="宋体" w:hAnsi="宋体" w:eastAsia="宋体" w:cs="宋体"/>
                <w:color w:val="auto"/>
                <w:sz w:val="24"/>
              </w:rPr>
              <w:t>食材有砂石污染的</w:t>
            </w:r>
          </w:p>
        </w:tc>
        <w:tc>
          <w:tcPr>
            <w:tcW w:w="1793" w:type="dxa"/>
            <w:noWrap w:val="0"/>
            <w:vAlign w:val="center"/>
          </w:tcPr>
          <w:p w14:paraId="3456385E">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eastAsia" w:ascii="宋体" w:hAnsi="宋体" w:eastAsia="宋体" w:cs="宋体"/>
                <w:color w:val="auto"/>
                <w:kern w:val="0"/>
                <w:sz w:val="24"/>
                <w:u w:val="none"/>
                <w:lang w:bidi="ar"/>
              </w:rPr>
            </w:pPr>
            <w:r>
              <w:rPr>
                <w:rFonts w:hint="eastAsia" w:ascii="宋体" w:hAnsi="宋体" w:eastAsia="宋体" w:cs="宋体"/>
                <w:i w:val="0"/>
                <w:iCs w:val="0"/>
                <w:color w:val="auto"/>
                <w:kern w:val="0"/>
                <w:sz w:val="24"/>
                <w:szCs w:val="24"/>
                <w:u w:val="none"/>
                <w:lang w:val="en-US" w:eastAsia="zh-CN" w:bidi="ar"/>
              </w:rPr>
              <w:t>每次扣2分</w:t>
            </w:r>
          </w:p>
        </w:tc>
      </w:tr>
      <w:tr w14:paraId="0415E0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9" w:hRule="atLeast"/>
          <w:jc w:val="center"/>
        </w:trPr>
        <w:tc>
          <w:tcPr>
            <w:tcW w:w="1177" w:type="dxa"/>
            <w:vMerge w:val="continue"/>
            <w:noWrap w:val="0"/>
            <w:vAlign w:val="top"/>
          </w:tcPr>
          <w:p w14:paraId="2AD0A0FB">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p>
        </w:tc>
        <w:tc>
          <w:tcPr>
            <w:tcW w:w="826" w:type="dxa"/>
            <w:noWrap w:val="0"/>
            <w:vAlign w:val="center"/>
          </w:tcPr>
          <w:p w14:paraId="316D2290">
            <w:pPr>
              <w:keepNext w:val="0"/>
              <w:keepLines w:val="0"/>
              <w:pageBreakBefore w:val="0"/>
              <w:kinsoku/>
              <w:wordWrap/>
              <w:overflowPunct/>
              <w:topLinePunct w:val="0"/>
              <w:autoSpaceDE/>
              <w:autoSpaceDN/>
              <w:bidi w:val="0"/>
              <w:snapToGrid w:val="0"/>
              <w:spacing w:line="240" w:lineRule="auto"/>
              <w:ind w:firstLine="0" w:firstLineChars="0"/>
              <w:jc w:val="center"/>
              <w:textAlignment w:val="auto"/>
              <w:rPr>
                <w:rFonts w:hint="eastAsia" w:ascii="宋体" w:hAnsi="宋体" w:eastAsia="宋体" w:cs="宋体"/>
                <w:color w:val="auto"/>
                <w:sz w:val="24"/>
              </w:rPr>
            </w:pPr>
            <w:r>
              <w:rPr>
                <w:rFonts w:hint="eastAsia" w:ascii="宋体" w:hAnsi="宋体" w:eastAsia="宋体" w:cs="宋体"/>
                <w:color w:val="auto"/>
                <w:sz w:val="24"/>
              </w:rPr>
              <w:t>5</w:t>
            </w:r>
          </w:p>
        </w:tc>
        <w:tc>
          <w:tcPr>
            <w:tcW w:w="5937" w:type="dxa"/>
            <w:noWrap w:val="0"/>
            <w:vAlign w:val="center"/>
          </w:tcPr>
          <w:p w14:paraId="39381E60">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r>
              <w:rPr>
                <w:rFonts w:hint="eastAsia" w:ascii="宋体" w:hAnsi="宋体" w:eastAsia="宋体" w:cs="宋体"/>
                <w:color w:val="auto"/>
                <w:sz w:val="24"/>
              </w:rPr>
              <w:t>食材混有危害健康致病寄生虫、卵的</w:t>
            </w:r>
          </w:p>
        </w:tc>
        <w:tc>
          <w:tcPr>
            <w:tcW w:w="1793" w:type="dxa"/>
            <w:noWrap w:val="0"/>
            <w:vAlign w:val="center"/>
          </w:tcPr>
          <w:p w14:paraId="3E845340">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eastAsia" w:ascii="宋体" w:hAnsi="宋体" w:eastAsia="宋体" w:cs="宋体"/>
                <w:color w:val="auto"/>
                <w:kern w:val="0"/>
                <w:sz w:val="24"/>
                <w:u w:val="none"/>
                <w:lang w:bidi="ar"/>
              </w:rPr>
            </w:pPr>
            <w:r>
              <w:rPr>
                <w:rFonts w:hint="eastAsia" w:ascii="宋体" w:hAnsi="宋体" w:eastAsia="宋体" w:cs="宋体"/>
                <w:i w:val="0"/>
                <w:iCs w:val="0"/>
                <w:color w:val="auto"/>
                <w:kern w:val="0"/>
                <w:sz w:val="24"/>
                <w:szCs w:val="24"/>
                <w:u w:val="none"/>
                <w:lang w:val="en-US" w:eastAsia="zh-CN" w:bidi="ar"/>
              </w:rPr>
              <w:t>每次扣5分</w:t>
            </w:r>
          </w:p>
        </w:tc>
      </w:tr>
      <w:tr w14:paraId="66912F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6" w:hRule="atLeast"/>
          <w:jc w:val="center"/>
        </w:trPr>
        <w:tc>
          <w:tcPr>
            <w:tcW w:w="1177" w:type="dxa"/>
            <w:vMerge w:val="continue"/>
            <w:noWrap w:val="0"/>
            <w:vAlign w:val="top"/>
          </w:tcPr>
          <w:p w14:paraId="52F1B956">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p>
        </w:tc>
        <w:tc>
          <w:tcPr>
            <w:tcW w:w="826" w:type="dxa"/>
            <w:noWrap w:val="0"/>
            <w:vAlign w:val="center"/>
          </w:tcPr>
          <w:p w14:paraId="1630622F">
            <w:pPr>
              <w:keepNext w:val="0"/>
              <w:keepLines w:val="0"/>
              <w:pageBreakBefore w:val="0"/>
              <w:kinsoku/>
              <w:wordWrap/>
              <w:overflowPunct/>
              <w:topLinePunct w:val="0"/>
              <w:autoSpaceDE/>
              <w:autoSpaceDN/>
              <w:bidi w:val="0"/>
              <w:snapToGrid w:val="0"/>
              <w:spacing w:line="240" w:lineRule="auto"/>
              <w:ind w:firstLine="0" w:firstLineChars="0"/>
              <w:jc w:val="center"/>
              <w:textAlignment w:val="auto"/>
              <w:rPr>
                <w:rFonts w:hint="eastAsia" w:ascii="宋体" w:hAnsi="宋体" w:eastAsia="宋体" w:cs="宋体"/>
                <w:color w:val="auto"/>
                <w:sz w:val="24"/>
              </w:rPr>
            </w:pPr>
            <w:r>
              <w:rPr>
                <w:rFonts w:hint="eastAsia" w:ascii="宋体" w:hAnsi="宋体" w:eastAsia="宋体" w:cs="宋体"/>
                <w:color w:val="auto"/>
                <w:sz w:val="24"/>
              </w:rPr>
              <w:t>6</w:t>
            </w:r>
          </w:p>
        </w:tc>
        <w:tc>
          <w:tcPr>
            <w:tcW w:w="5937" w:type="dxa"/>
            <w:noWrap w:val="0"/>
            <w:vAlign w:val="center"/>
          </w:tcPr>
          <w:p w14:paraId="4A0C9AE8">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r>
              <w:rPr>
                <w:rFonts w:hint="eastAsia" w:ascii="宋体" w:hAnsi="宋体" w:eastAsia="宋体" w:cs="宋体"/>
                <w:color w:val="auto"/>
                <w:sz w:val="24"/>
              </w:rPr>
              <w:t>食材被交叉轻微污损的</w:t>
            </w:r>
          </w:p>
        </w:tc>
        <w:tc>
          <w:tcPr>
            <w:tcW w:w="1793" w:type="dxa"/>
            <w:noWrap w:val="0"/>
            <w:vAlign w:val="center"/>
          </w:tcPr>
          <w:p w14:paraId="59DBAD6D">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eastAsia" w:ascii="宋体" w:hAnsi="宋体" w:eastAsia="宋体" w:cs="宋体"/>
                <w:color w:val="auto"/>
                <w:kern w:val="0"/>
                <w:sz w:val="24"/>
                <w:u w:val="none"/>
                <w:lang w:bidi="ar"/>
              </w:rPr>
            </w:pPr>
            <w:r>
              <w:rPr>
                <w:rFonts w:hint="eastAsia" w:ascii="宋体" w:hAnsi="宋体" w:eastAsia="宋体" w:cs="宋体"/>
                <w:i w:val="0"/>
                <w:iCs w:val="0"/>
                <w:color w:val="auto"/>
                <w:kern w:val="0"/>
                <w:sz w:val="24"/>
                <w:szCs w:val="24"/>
                <w:u w:val="none"/>
                <w:lang w:val="en-US" w:eastAsia="zh-CN" w:bidi="ar"/>
              </w:rPr>
              <w:t>每次扣2分</w:t>
            </w:r>
          </w:p>
        </w:tc>
      </w:tr>
      <w:tr w14:paraId="0AFA53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9" w:hRule="atLeast"/>
          <w:jc w:val="center"/>
        </w:trPr>
        <w:tc>
          <w:tcPr>
            <w:tcW w:w="1177" w:type="dxa"/>
            <w:vMerge w:val="continue"/>
            <w:noWrap w:val="0"/>
            <w:vAlign w:val="top"/>
          </w:tcPr>
          <w:p w14:paraId="288344E6">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p>
        </w:tc>
        <w:tc>
          <w:tcPr>
            <w:tcW w:w="826" w:type="dxa"/>
            <w:noWrap w:val="0"/>
            <w:vAlign w:val="center"/>
          </w:tcPr>
          <w:p w14:paraId="4BA43CCA">
            <w:pPr>
              <w:keepNext w:val="0"/>
              <w:keepLines w:val="0"/>
              <w:pageBreakBefore w:val="0"/>
              <w:kinsoku/>
              <w:wordWrap/>
              <w:overflowPunct/>
              <w:topLinePunct w:val="0"/>
              <w:autoSpaceDE/>
              <w:autoSpaceDN/>
              <w:bidi w:val="0"/>
              <w:snapToGrid w:val="0"/>
              <w:spacing w:line="240" w:lineRule="auto"/>
              <w:ind w:firstLine="0" w:firstLineChars="0"/>
              <w:jc w:val="center"/>
              <w:textAlignment w:val="auto"/>
              <w:rPr>
                <w:rFonts w:hint="eastAsia" w:ascii="宋体" w:hAnsi="宋体" w:eastAsia="宋体" w:cs="宋体"/>
                <w:color w:val="auto"/>
                <w:sz w:val="24"/>
              </w:rPr>
            </w:pPr>
            <w:r>
              <w:rPr>
                <w:rFonts w:hint="eastAsia" w:ascii="宋体" w:hAnsi="宋体" w:eastAsia="宋体" w:cs="宋体"/>
                <w:color w:val="auto"/>
                <w:sz w:val="24"/>
              </w:rPr>
              <w:t>7</w:t>
            </w:r>
          </w:p>
        </w:tc>
        <w:tc>
          <w:tcPr>
            <w:tcW w:w="5937" w:type="dxa"/>
            <w:noWrap w:val="0"/>
            <w:vAlign w:val="center"/>
          </w:tcPr>
          <w:p w14:paraId="1F3C2A8C">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r>
              <w:rPr>
                <w:rFonts w:hint="eastAsia" w:ascii="宋体" w:hAnsi="宋体" w:eastAsia="宋体" w:cs="宋体"/>
                <w:color w:val="auto"/>
                <w:sz w:val="24"/>
              </w:rPr>
              <w:t>未按食材标准进行配送的</w:t>
            </w:r>
          </w:p>
        </w:tc>
        <w:tc>
          <w:tcPr>
            <w:tcW w:w="1793" w:type="dxa"/>
            <w:noWrap w:val="0"/>
            <w:vAlign w:val="center"/>
          </w:tcPr>
          <w:p w14:paraId="1D1039B0">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eastAsia" w:ascii="宋体" w:hAnsi="宋体" w:eastAsia="宋体" w:cs="宋体"/>
                <w:color w:val="auto"/>
                <w:kern w:val="0"/>
                <w:sz w:val="24"/>
                <w:u w:val="none"/>
                <w:lang w:bidi="ar"/>
              </w:rPr>
            </w:pPr>
            <w:r>
              <w:rPr>
                <w:rFonts w:hint="eastAsia" w:ascii="宋体" w:hAnsi="宋体" w:eastAsia="宋体" w:cs="宋体"/>
                <w:i w:val="0"/>
                <w:iCs w:val="0"/>
                <w:color w:val="auto"/>
                <w:kern w:val="0"/>
                <w:sz w:val="24"/>
                <w:szCs w:val="24"/>
                <w:u w:val="none"/>
                <w:lang w:val="en-US" w:eastAsia="zh-CN" w:bidi="ar"/>
              </w:rPr>
              <w:t>每次扣3分</w:t>
            </w:r>
          </w:p>
        </w:tc>
      </w:tr>
      <w:tr w14:paraId="6AD74E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9" w:hRule="atLeast"/>
          <w:jc w:val="center"/>
        </w:trPr>
        <w:tc>
          <w:tcPr>
            <w:tcW w:w="1177" w:type="dxa"/>
            <w:vMerge w:val="continue"/>
            <w:noWrap w:val="0"/>
            <w:vAlign w:val="top"/>
          </w:tcPr>
          <w:p w14:paraId="3C6C65AB">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p>
        </w:tc>
        <w:tc>
          <w:tcPr>
            <w:tcW w:w="826" w:type="dxa"/>
            <w:noWrap w:val="0"/>
            <w:vAlign w:val="center"/>
          </w:tcPr>
          <w:p w14:paraId="58A17E75">
            <w:pPr>
              <w:keepNext w:val="0"/>
              <w:keepLines w:val="0"/>
              <w:pageBreakBefore w:val="0"/>
              <w:kinsoku/>
              <w:wordWrap/>
              <w:overflowPunct/>
              <w:topLinePunct w:val="0"/>
              <w:autoSpaceDE/>
              <w:autoSpaceDN/>
              <w:bidi w:val="0"/>
              <w:snapToGrid w:val="0"/>
              <w:spacing w:line="240" w:lineRule="auto"/>
              <w:ind w:firstLine="0" w:firstLineChars="0"/>
              <w:jc w:val="center"/>
              <w:textAlignment w:val="auto"/>
              <w:rPr>
                <w:rFonts w:hint="eastAsia" w:ascii="宋体" w:hAnsi="宋体" w:eastAsia="宋体" w:cs="宋体"/>
                <w:color w:val="auto"/>
                <w:sz w:val="24"/>
              </w:rPr>
            </w:pPr>
            <w:r>
              <w:rPr>
                <w:rFonts w:hint="eastAsia" w:ascii="宋体" w:hAnsi="宋体" w:eastAsia="宋体" w:cs="宋体"/>
                <w:color w:val="auto"/>
                <w:sz w:val="24"/>
              </w:rPr>
              <w:t>8</w:t>
            </w:r>
          </w:p>
        </w:tc>
        <w:tc>
          <w:tcPr>
            <w:tcW w:w="5937" w:type="dxa"/>
            <w:noWrap w:val="0"/>
            <w:vAlign w:val="center"/>
          </w:tcPr>
          <w:p w14:paraId="2D899573">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r>
              <w:rPr>
                <w:rFonts w:hint="eastAsia" w:ascii="宋体" w:hAnsi="宋体" w:eastAsia="宋体" w:cs="宋体"/>
                <w:color w:val="auto"/>
                <w:sz w:val="24"/>
              </w:rPr>
              <w:t>食材以次充好的</w:t>
            </w:r>
          </w:p>
        </w:tc>
        <w:tc>
          <w:tcPr>
            <w:tcW w:w="1793" w:type="dxa"/>
            <w:noWrap w:val="0"/>
            <w:vAlign w:val="center"/>
          </w:tcPr>
          <w:p w14:paraId="26C7E85D">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eastAsia" w:ascii="宋体" w:hAnsi="宋体" w:eastAsia="宋体" w:cs="宋体"/>
                <w:color w:val="auto"/>
                <w:kern w:val="0"/>
                <w:sz w:val="24"/>
                <w:u w:val="none"/>
                <w:lang w:bidi="ar"/>
              </w:rPr>
            </w:pPr>
            <w:r>
              <w:rPr>
                <w:rFonts w:hint="eastAsia" w:ascii="宋体" w:hAnsi="宋体" w:eastAsia="宋体" w:cs="宋体"/>
                <w:i w:val="0"/>
                <w:iCs w:val="0"/>
                <w:color w:val="auto"/>
                <w:kern w:val="0"/>
                <w:sz w:val="24"/>
                <w:szCs w:val="24"/>
                <w:u w:val="none"/>
                <w:lang w:val="en-US" w:eastAsia="zh-CN" w:bidi="ar"/>
              </w:rPr>
              <w:t>每次扣5分</w:t>
            </w:r>
          </w:p>
        </w:tc>
      </w:tr>
      <w:tr w14:paraId="000DB5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9" w:hRule="atLeast"/>
          <w:jc w:val="center"/>
        </w:trPr>
        <w:tc>
          <w:tcPr>
            <w:tcW w:w="1177" w:type="dxa"/>
            <w:vMerge w:val="continue"/>
            <w:noWrap w:val="0"/>
            <w:vAlign w:val="top"/>
          </w:tcPr>
          <w:p w14:paraId="387D113E">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p>
        </w:tc>
        <w:tc>
          <w:tcPr>
            <w:tcW w:w="826" w:type="dxa"/>
            <w:noWrap w:val="0"/>
            <w:vAlign w:val="center"/>
          </w:tcPr>
          <w:p w14:paraId="19F23997">
            <w:pPr>
              <w:keepNext w:val="0"/>
              <w:keepLines w:val="0"/>
              <w:pageBreakBefore w:val="0"/>
              <w:kinsoku/>
              <w:wordWrap/>
              <w:overflowPunct/>
              <w:topLinePunct w:val="0"/>
              <w:autoSpaceDE/>
              <w:autoSpaceDN/>
              <w:bidi w:val="0"/>
              <w:snapToGrid w:val="0"/>
              <w:spacing w:line="240" w:lineRule="auto"/>
              <w:ind w:firstLine="0" w:firstLineChars="0"/>
              <w:jc w:val="center"/>
              <w:textAlignment w:val="auto"/>
              <w:rPr>
                <w:rFonts w:hint="eastAsia" w:ascii="宋体" w:hAnsi="宋体" w:eastAsia="宋体" w:cs="宋体"/>
                <w:color w:val="auto"/>
                <w:sz w:val="24"/>
              </w:rPr>
            </w:pPr>
            <w:r>
              <w:rPr>
                <w:rFonts w:hint="eastAsia" w:ascii="宋体" w:hAnsi="宋体" w:eastAsia="宋体" w:cs="宋体"/>
                <w:color w:val="auto"/>
                <w:sz w:val="24"/>
              </w:rPr>
              <w:t>9</w:t>
            </w:r>
          </w:p>
        </w:tc>
        <w:tc>
          <w:tcPr>
            <w:tcW w:w="5937" w:type="dxa"/>
            <w:noWrap w:val="0"/>
            <w:vAlign w:val="center"/>
          </w:tcPr>
          <w:p w14:paraId="3E8B61E2">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r>
              <w:rPr>
                <w:rFonts w:hint="eastAsia" w:ascii="宋体" w:hAnsi="宋体" w:eastAsia="宋体" w:cs="宋体"/>
                <w:color w:val="auto"/>
                <w:sz w:val="24"/>
              </w:rPr>
              <w:t>一批次食材个别品种不洁净的</w:t>
            </w:r>
          </w:p>
        </w:tc>
        <w:tc>
          <w:tcPr>
            <w:tcW w:w="1793" w:type="dxa"/>
            <w:noWrap w:val="0"/>
            <w:vAlign w:val="center"/>
          </w:tcPr>
          <w:p w14:paraId="33894BA9">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eastAsia" w:ascii="宋体" w:hAnsi="宋体" w:eastAsia="宋体" w:cs="宋体"/>
                <w:color w:val="auto"/>
                <w:kern w:val="0"/>
                <w:sz w:val="24"/>
                <w:u w:val="none"/>
                <w:lang w:bidi="ar"/>
              </w:rPr>
            </w:pPr>
            <w:r>
              <w:rPr>
                <w:rFonts w:hint="eastAsia" w:ascii="宋体" w:hAnsi="宋体" w:eastAsia="宋体" w:cs="宋体"/>
                <w:i w:val="0"/>
                <w:iCs w:val="0"/>
                <w:color w:val="auto"/>
                <w:kern w:val="0"/>
                <w:sz w:val="24"/>
                <w:szCs w:val="24"/>
                <w:u w:val="none"/>
                <w:lang w:val="en-US" w:eastAsia="zh-CN" w:bidi="ar"/>
              </w:rPr>
              <w:t>每次扣1分</w:t>
            </w:r>
          </w:p>
        </w:tc>
      </w:tr>
      <w:tr w14:paraId="07C8C3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9" w:hRule="atLeast"/>
          <w:jc w:val="center"/>
        </w:trPr>
        <w:tc>
          <w:tcPr>
            <w:tcW w:w="1177" w:type="dxa"/>
            <w:vMerge w:val="continue"/>
            <w:noWrap w:val="0"/>
            <w:vAlign w:val="top"/>
          </w:tcPr>
          <w:p w14:paraId="6501912A">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p>
        </w:tc>
        <w:tc>
          <w:tcPr>
            <w:tcW w:w="826" w:type="dxa"/>
            <w:noWrap w:val="0"/>
            <w:vAlign w:val="center"/>
          </w:tcPr>
          <w:p w14:paraId="077E56D0">
            <w:pPr>
              <w:keepNext w:val="0"/>
              <w:keepLines w:val="0"/>
              <w:pageBreakBefore w:val="0"/>
              <w:kinsoku/>
              <w:wordWrap/>
              <w:overflowPunct/>
              <w:topLinePunct w:val="0"/>
              <w:autoSpaceDE/>
              <w:autoSpaceDN/>
              <w:bidi w:val="0"/>
              <w:snapToGrid w:val="0"/>
              <w:spacing w:line="240" w:lineRule="auto"/>
              <w:ind w:firstLine="0" w:firstLineChars="0"/>
              <w:jc w:val="center"/>
              <w:textAlignment w:val="auto"/>
              <w:rPr>
                <w:rFonts w:hint="eastAsia" w:ascii="宋体" w:hAnsi="宋体" w:eastAsia="宋体" w:cs="宋体"/>
                <w:color w:val="auto"/>
                <w:sz w:val="24"/>
              </w:rPr>
            </w:pPr>
            <w:r>
              <w:rPr>
                <w:rFonts w:hint="eastAsia" w:ascii="宋体" w:hAnsi="宋体" w:eastAsia="宋体" w:cs="宋体"/>
                <w:color w:val="auto"/>
                <w:sz w:val="24"/>
              </w:rPr>
              <w:t>10</w:t>
            </w:r>
          </w:p>
        </w:tc>
        <w:tc>
          <w:tcPr>
            <w:tcW w:w="5937" w:type="dxa"/>
            <w:noWrap w:val="0"/>
            <w:vAlign w:val="center"/>
          </w:tcPr>
          <w:p w14:paraId="3628C1D2">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r>
              <w:rPr>
                <w:rFonts w:hint="eastAsia" w:ascii="宋体" w:hAnsi="宋体" w:eastAsia="宋体" w:cs="宋体"/>
                <w:color w:val="auto"/>
                <w:sz w:val="24"/>
              </w:rPr>
              <w:t>一批次食材 3 个以上品种不洁净的</w:t>
            </w:r>
          </w:p>
        </w:tc>
        <w:tc>
          <w:tcPr>
            <w:tcW w:w="1793" w:type="dxa"/>
            <w:noWrap w:val="0"/>
            <w:vAlign w:val="center"/>
          </w:tcPr>
          <w:p w14:paraId="03D84F49">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eastAsia" w:ascii="宋体" w:hAnsi="宋体" w:eastAsia="宋体" w:cs="宋体"/>
                <w:color w:val="auto"/>
                <w:kern w:val="0"/>
                <w:sz w:val="24"/>
                <w:u w:val="none"/>
                <w:lang w:bidi="ar"/>
              </w:rPr>
            </w:pPr>
            <w:r>
              <w:rPr>
                <w:rFonts w:hint="eastAsia" w:ascii="宋体" w:hAnsi="宋体" w:eastAsia="宋体" w:cs="宋体"/>
                <w:i w:val="0"/>
                <w:iCs w:val="0"/>
                <w:color w:val="auto"/>
                <w:kern w:val="0"/>
                <w:sz w:val="24"/>
                <w:szCs w:val="24"/>
                <w:u w:val="none"/>
                <w:lang w:val="en-US" w:eastAsia="zh-CN" w:bidi="ar"/>
              </w:rPr>
              <w:t>每次扣5分</w:t>
            </w:r>
          </w:p>
        </w:tc>
      </w:tr>
      <w:tr w14:paraId="36A060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jc w:val="center"/>
        </w:trPr>
        <w:tc>
          <w:tcPr>
            <w:tcW w:w="1177" w:type="dxa"/>
            <w:vMerge w:val="continue"/>
            <w:noWrap w:val="0"/>
            <w:vAlign w:val="top"/>
          </w:tcPr>
          <w:p w14:paraId="4F2890EF">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p>
        </w:tc>
        <w:tc>
          <w:tcPr>
            <w:tcW w:w="826" w:type="dxa"/>
            <w:noWrap w:val="0"/>
            <w:vAlign w:val="center"/>
          </w:tcPr>
          <w:p w14:paraId="359ACAA9">
            <w:pPr>
              <w:keepNext w:val="0"/>
              <w:keepLines w:val="0"/>
              <w:pageBreakBefore w:val="0"/>
              <w:kinsoku/>
              <w:wordWrap/>
              <w:overflowPunct/>
              <w:topLinePunct w:val="0"/>
              <w:autoSpaceDE/>
              <w:autoSpaceDN/>
              <w:bidi w:val="0"/>
              <w:snapToGrid w:val="0"/>
              <w:spacing w:line="240" w:lineRule="auto"/>
              <w:ind w:firstLine="0" w:firstLineChars="0"/>
              <w:jc w:val="center"/>
              <w:textAlignment w:val="auto"/>
              <w:rPr>
                <w:rFonts w:hint="eastAsia" w:ascii="宋体" w:hAnsi="宋体" w:eastAsia="宋体" w:cs="宋体"/>
                <w:color w:val="auto"/>
                <w:sz w:val="24"/>
              </w:rPr>
            </w:pPr>
            <w:r>
              <w:rPr>
                <w:rFonts w:hint="eastAsia" w:ascii="宋体" w:hAnsi="宋体" w:eastAsia="宋体" w:cs="宋体"/>
                <w:color w:val="auto"/>
                <w:sz w:val="24"/>
              </w:rPr>
              <w:t>11</w:t>
            </w:r>
          </w:p>
        </w:tc>
        <w:tc>
          <w:tcPr>
            <w:tcW w:w="5937" w:type="dxa"/>
            <w:noWrap w:val="0"/>
            <w:vAlign w:val="center"/>
          </w:tcPr>
          <w:p w14:paraId="05B56FB6">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r>
              <w:rPr>
                <w:rFonts w:hint="eastAsia" w:ascii="宋体" w:hAnsi="宋体" w:eastAsia="宋体" w:cs="宋体"/>
                <w:color w:val="auto"/>
                <w:sz w:val="24"/>
              </w:rPr>
              <w:t>食材整批不洁净的</w:t>
            </w:r>
          </w:p>
        </w:tc>
        <w:tc>
          <w:tcPr>
            <w:tcW w:w="1793" w:type="dxa"/>
            <w:noWrap w:val="0"/>
            <w:vAlign w:val="center"/>
          </w:tcPr>
          <w:p w14:paraId="1D95B416">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eastAsia" w:ascii="宋体" w:hAnsi="宋体" w:eastAsia="宋体" w:cs="宋体"/>
                <w:color w:val="auto"/>
                <w:kern w:val="0"/>
                <w:sz w:val="24"/>
                <w:u w:val="none"/>
                <w:lang w:bidi="ar"/>
              </w:rPr>
            </w:pPr>
            <w:r>
              <w:rPr>
                <w:rFonts w:hint="eastAsia" w:ascii="宋体" w:hAnsi="宋体" w:eastAsia="宋体" w:cs="宋体"/>
                <w:i w:val="0"/>
                <w:iCs w:val="0"/>
                <w:color w:val="auto"/>
                <w:kern w:val="0"/>
                <w:sz w:val="24"/>
                <w:szCs w:val="24"/>
                <w:u w:val="none"/>
                <w:lang w:val="en-US" w:eastAsia="zh-CN" w:bidi="ar"/>
              </w:rPr>
              <w:t>每次扣10分</w:t>
            </w:r>
          </w:p>
        </w:tc>
      </w:tr>
      <w:tr w14:paraId="5B18B6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9" w:hRule="atLeast"/>
          <w:jc w:val="center"/>
        </w:trPr>
        <w:tc>
          <w:tcPr>
            <w:tcW w:w="1177" w:type="dxa"/>
            <w:vMerge w:val="continue"/>
            <w:noWrap w:val="0"/>
            <w:vAlign w:val="top"/>
          </w:tcPr>
          <w:p w14:paraId="1CCF2BC6">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p>
        </w:tc>
        <w:tc>
          <w:tcPr>
            <w:tcW w:w="826" w:type="dxa"/>
            <w:noWrap w:val="0"/>
            <w:vAlign w:val="center"/>
          </w:tcPr>
          <w:p w14:paraId="7B8AE331">
            <w:pPr>
              <w:keepNext w:val="0"/>
              <w:keepLines w:val="0"/>
              <w:pageBreakBefore w:val="0"/>
              <w:kinsoku/>
              <w:wordWrap/>
              <w:overflowPunct/>
              <w:topLinePunct w:val="0"/>
              <w:autoSpaceDE/>
              <w:autoSpaceDN/>
              <w:bidi w:val="0"/>
              <w:snapToGrid w:val="0"/>
              <w:spacing w:line="240" w:lineRule="auto"/>
              <w:ind w:firstLine="0" w:firstLineChars="0"/>
              <w:jc w:val="center"/>
              <w:textAlignment w:val="auto"/>
              <w:rPr>
                <w:rFonts w:hint="eastAsia" w:ascii="宋体" w:hAnsi="宋体" w:eastAsia="宋体" w:cs="宋体"/>
                <w:color w:val="auto"/>
                <w:sz w:val="24"/>
              </w:rPr>
            </w:pPr>
            <w:r>
              <w:rPr>
                <w:rFonts w:hint="eastAsia" w:ascii="宋体" w:hAnsi="宋体" w:eastAsia="宋体" w:cs="宋体"/>
                <w:color w:val="auto"/>
                <w:sz w:val="24"/>
              </w:rPr>
              <w:t>12</w:t>
            </w:r>
          </w:p>
        </w:tc>
        <w:tc>
          <w:tcPr>
            <w:tcW w:w="5937" w:type="dxa"/>
            <w:noWrap w:val="0"/>
            <w:vAlign w:val="center"/>
          </w:tcPr>
          <w:p w14:paraId="314DDBA0">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r>
              <w:rPr>
                <w:rFonts w:hint="eastAsia" w:ascii="宋体" w:hAnsi="宋体" w:eastAsia="宋体" w:cs="宋体"/>
                <w:color w:val="auto"/>
                <w:sz w:val="24"/>
              </w:rPr>
              <w:t>配送破损变形食材的</w:t>
            </w:r>
          </w:p>
        </w:tc>
        <w:tc>
          <w:tcPr>
            <w:tcW w:w="1793" w:type="dxa"/>
            <w:noWrap w:val="0"/>
            <w:vAlign w:val="center"/>
          </w:tcPr>
          <w:p w14:paraId="5577A796">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eastAsia" w:ascii="宋体" w:hAnsi="宋体" w:eastAsia="宋体" w:cs="宋体"/>
                <w:color w:val="auto"/>
                <w:kern w:val="0"/>
                <w:sz w:val="24"/>
                <w:u w:val="none"/>
                <w:lang w:bidi="ar"/>
              </w:rPr>
            </w:pPr>
            <w:r>
              <w:rPr>
                <w:rFonts w:hint="eastAsia" w:ascii="宋体" w:hAnsi="宋体" w:eastAsia="宋体" w:cs="宋体"/>
                <w:i w:val="0"/>
                <w:iCs w:val="0"/>
                <w:color w:val="auto"/>
                <w:kern w:val="0"/>
                <w:sz w:val="24"/>
                <w:szCs w:val="24"/>
                <w:u w:val="none"/>
                <w:lang w:val="en-US" w:eastAsia="zh-CN" w:bidi="ar"/>
              </w:rPr>
              <w:t>每次扣2分</w:t>
            </w:r>
          </w:p>
        </w:tc>
      </w:tr>
      <w:tr w14:paraId="51C998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9" w:hRule="atLeast"/>
          <w:jc w:val="center"/>
        </w:trPr>
        <w:tc>
          <w:tcPr>
            <w:tcW w:w="1177" w:type="dxa"/>
            <w:vMerge w:val="continue"/>
            <w:noWrap w:val="0"/>
            <w:vAlign w:val="top"/>
          </w:tcPr>
          <w:p w14:paraId="545DDA04">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p>
        </w:tc>
        <w:tc>
          <w:tcPr>
            <w:tcW w:w="826" w:type="dxa"/>
            <w:noWrap w:val="0"/>
            <w:vAlign w:val="center"/>
          </w:tcPr>
          <w:p w14:paraId="1CD8E4C8">
            <w:pPr>
              <w:keepNext w:val="0"/>
              <w:keepLines w:val="0"/>
              <w:pageBreakBefore w:val="0"/>
              <w:kinsoku/>
              <w:wordWrap/>
              <w:overflowPunct/>
              <w:topLinePunct w:val="0"/>
              <w:autoSpaceDE/>
              <w:autoSpaceDN/>
              <w:bidi w:val="0"/>
              <w:snapToGrid w:val="0"/>
              <w:spacing w:line="240" w:lineRule="auto"/>
              <w:ind w:firstLine="0" w:firstLineChars="0"/>
              <w:jc w:val="center"/>
              <w:textAlignment w:val="auto"/>
              <w:rPr>
                <w:rFonts w:hint="eastAsia" w:ascii="宋体" w:hAnsi="宋体" w:eastAsia="宋体" w:cs="宋体"/>
                <w:color w:val="auto"/>
                <w:sz w:val="24"/>
              </w:rPr>
            </w:pPr>
            <w:r>
              <w:rPr>
                <w:rFonts w:hint="eastAsia" w:ascii="宋体" w:hAnsi="宋体" w:eastAsia="宋体" w:cs="宋体"/>
                <w:color w:val="auto"/>
                <w:sz w:val="24"/>
              </w:rPr>
              <w:t>13</w:t>
            </w:r>
          </w:p>
        </w:tc>
        <w:tc>
          <w:tcPr>
            <w:tcW w:w="5937" w:type="dxa"/>
            <w:noWrap w:val="0"/>
            <w:vAlign w:val="center"/>
          </w:tcPr>
          <w:p w14:paraId="2C84BDF6">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r>
              <w:rPr>
                <w:rFonts w:hint="eastAsia" w:ascii="宋体" w:hAnsi="宋体" w:eastAsia="宋体" w:cs="宋体"/>
                <w:color w:val="auto"/>
                <w:sz w:val="24"/>
              </w:rPr>
              <w:t>配送未经检疫的肉类及其它原材料的</w:t>
            </w:r>
          </w:p>
        </w:tc>
        <w:tc>
          <w:tcPr>
            <w:tcW w:w="1793" w:type="dxa"/>
            <w:noWrap w:val="0"/>
            <w:vAlign w:val="center"/>
          </w:tcPr>
          <w:p w14:paraId="42D4FFB3">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eastAsia" w:ascii="宋体" w:hAnsi="宋体" w:eastAsia="宋体" w:cs="宋体"/>
                <w:color w:val="auto"/>
                <w:kern w:val="0"/>
                <w:sz w:val="24"/>
                <w:u w:val="none"/>
                <w:lang w:bidi="ar"/>
              </w:rPr>
            </w:pPr>
            <w:r>
              <w:rPr>
                <w:rFonts w:hint="eastAsia" w:ascii="宋体" w:hAnsi="宋体" w:eastAsia="宋体" w:cs="宋体"/>
                <w:i w:val="0"/>
                <w:iCs w:val="0"/>
                <w:color w:val="auto"/>
                <w:kern w:val="0"/>
                <w:sz w:val="24"/>
                <w:szCs w:val="24"/>
                <w:u w:val="none"/>
                <w:lang w:val="en-US" w:eastAsia="zh-CN" w:bidi="ar"/>
              </w:rPr>
              <w:t>每次扣5分</w:t>
            </w:r>
          </w:p>
        </w:tc>
      </w:tr>
      <w:tr w14:paraId="343DF7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jc w:val="center"/>
        </w:trPr>
        <w:tc>
          <w:tcPr>
            <w:tcW w:w="1177" w:type="dxa"/>
            <w:vMerge w:val="continue"/>
            <w:noWrap w:val="0"/>
            <w:vAlign w:val="top"/>
          </w:tcPr>
          <w:p w14:paraId="5D0BDD85">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p>
        </w:tc>
        <w:tc>
          <w:tcPr>
            <w:tcW w:w="826" w:type="dxa"/>
            <w:noWrap w:val="0"/>
            <w:vAlign w:val="center"/>
          </w:tcPr>
          <w:p w14:paraId="3FBE4EFD">
            <w:pPr>
              <w:keepNext w:val="0"/>
              <w:keepLines w:val="0"/>
              <w:pageBreakBefore w:val="0"/>
              <w:kinsoku/>
              <w:wordWrap/>
              <w:overflowPunct/>
              <w:topLinePunct w:val="0"/>
              <w:autoSpaceDE/>
              <w:autoSpaceDN/>
              <w:bidi w:val="0"/>
              <w:snapToGrid w:val="0"/>
              <w:spacing w:line="240" w:lineRule="auto"/>
              <w:ind w:firstLine="0" w:firstLineChars="0"/>
              <w:jc w:val="center"/>
              <w:textAlignment w:val="auto"/>
              <w:rPr>
                <w:rFonts w:hint="eastAsia" w:ascii="宋体" w:hAnsi="宋体" w:eastAsia="宋体" w:cs="宋体"/>
                <w:color w:val="auto"/>
                <w:sz w:val="24"/>
              </w:rPr>
            </w:pPr>
            <w:r>
              <w:rPr>
                <w:rFonts w:hint="eastAsia" w:ascii="宋体" w:hAnsi="宋体" w:eastAsia="宋体" w:cs="宋体"/>
                <w:color w:val="auto"/>
                <w:sz w:val="24"/>
              </w:rPr>
              <w:t>14</w:t>
            </w:r>
          </w:p>
        </w:tc>
        <w:tc>
          <w:tcPr>
            <w:tcW w:w="5937" w:type="dxa"/>
            <w:noWrap w:val="0"/>
            <w:vAlign w:val="center"/>
          </w:tcPr>
          <w:p w14:paraId="01B058DC">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r>
              <w:rPr>
                <w:rFonts w:hint="eastAsia" w:ascii="宋体" w:hAnsi="宋体" w:eastAsia="宋体" w:cs="宋体"/>
                <w:color w:val="auto"/>
                <w:sz w:val="24"/>
              </w:rPr>
              <w:t>配送食材混杂有明显异物的</w:t>
            </w:r>
          </w:p>
        </w:tc>
        <w:tc>
          <w:tcPr>
            <w:tcW w:w="1793" w:type="dxa"/>
            <w:noWrap w:val="0"/>
            <w:vAlign w:val="center"/>
          </w:tcPr>
          <w:p w14:paraId="5ED693F7">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eastAsia" w:ascii="宋体" w:hAnsi="宋体" w:eastAsia="宋体" w:cs="宋体"/>
                <w:color w:val="auto"/>
                <w:kern w:val="0"/>
                <w:sz w:val="24"/>
                <w:u w:val="none"/>
                <w:lang w:bidi="ar"/>
              </w:rPr>
            </w:pPr>
            <w:r>
              <w:rPr>
                <w:rFonts w:hint="eastAsia" w:ascii="宋体" w:hAnsi="宋体" w:eastAsia="宋体" w:cs="宋体"/>
                <w:i w:val="0"/>
                <w:iCs w:val="0"/>
                <w:color w:val="auto"/>
                <w:kern w:val="0"/>
                <w:sz w:val="24"/>
                <w:szCs w:val="24"/>
                <w:u w:val="none"/>
                <w:lang w:val="en-US" w:eastAsia="zh-CN" w:bidi="ar"/>
              </w:rPr>
              <w:t>每次扣5分</w:t>
            </w:r>
          </w:p>
        </w:tc>
      </w:tr>
      <w:tr w14:paraId="2F09A5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9" w:hRule="atLeast"/>
          <w:jc w:val="center"/>
        </w:trPr>
        <w:tc>
          <w:tcPr>
            <w:tcW w:w="1177" w:type="dxa"/>
            <w:vMerge w:val="continue"/>
            <w:noWrap w:val="0"/>
            <w:vAlign w:val="top"/>
          </w:tcPr>
          <w:p w14:paraId="3EF6C82F">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p>
        </w:tc>
        <w:tc>
          <w:tcPr>
            <w:tcW w:w="826" w:type="dxa"/>
            <w:noWrap w:val="0"/>
            <w:vAlign w:val="center"/>
          </w:tcPr>
          <w:p w14:paraId="496CCDF4">
            <w:pPr>
              <w:keepNext w:val="0"/>
              <w:keepLines w:val="0"/>
              <w:pageBreakBefore w:val="0"/>
              <w:kinsoku/>
              <w:wordWrap/>
              <w:overflowPunct/>
              <w:topLinePunct w:val="0"/>
              <w:autoSpaceDE/>
              <w:autoSpaceDN/>
              <w:bidi w:val="0"/>
              <w:snapToGrid w:val="0"/>
              <w:spacing w:line="240" w:lineRule="auto"/>
              <w:ind w:firstLine="0" w:firstLineChars="0"/>
              <w:jc w:val="center"/>
              <w:textAlignment w:val="auto"/>
              <w:rPr>
                <w:rFonts w:hint="eastAsia" w:ascii="宋体" w:hAnsi="宋体" w:eastAsia="宋体" w:cs="宋体"/>
                <w:color w:val="auto"/>
                <w:sz w:val="24"/>
              </w:rPr>
            </w:pPr>
            <w:r>
              <w:rPr>
                <w:rFonts w:hint="eastAsia" w:ascii="宋体" w:hAnsi="宋体" w:eastAsia="宋体" w:cs="宋体"/>
                <w:color w:val="auto"/>
                <w:sz w:val="24"/>
              </w:rPr>
              <w:t>15</w:t>
            </w:r>
          </w:p>
        </w:tc>
        <w:tc>
          <w:tcPr>
            <w:tcW w:w="5937" w:type="dxa"/>
            <w:noWrap w:val="0"/>
            <w:vAlign w:val="center"/>
          </w:tcPr>
          <w:p w14:paraId="0DDC606F">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r>
              <w:rPr>
                <w:rFonts w:hint="eastAsia" w:ascii="宋体" w:hAnsi="宋体" w:eastAsia="宋体" w:cs="宋体"/>
                <w:color w:val="auto"/>
                <w:sz w:val="24"/>
              </w:rPr>
              <w:t>退换食材仍然不合格的</w:t>
            </w:r>
          </w:p>
        </w:tc>
        <w:tc>
          <w:tcPr>
            <w:tcW w:w="1793" w:type="dxa"/>
            <w:noWrap w:val="0"/>
            <w:vAlign w:val="center"/>
          </w:tcPr>
          <w:p w14:paraId="33B20372">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eastAsia" w:ascii="宋体" w:hAnsi="宋体" w:eastAsia="宋体" w:cs="宋体"/>
                <w:color w:val="auto"/>
                <w:kern w:val="0"/>
                <w:sz w:val="24"/>
                <w:u w:val="none"/>
                <w:lang w:bidi="ar"/>
              </w:rPr>
            </w:pPr>
            <w:r>
              <w:rPr>
                <w:rFonts w:hint="eastAsia" w:ascii="宋体" w:hAnsi="宋体" w:eastAsia="宋体" w:cs="宋体"/>
                <w:i w:val="0"/>
                <w:iCs w:val="0"/>
                <w:color w:val="auto"/>
                <w:kern w:val="0"/>
                <w:sz w:val="24"/>
                <w:szCs w:val="24"/>
                <w:u w:val="none"/>
                <w:lang w:val="en-US" w:eastAsia="zh-CN" w:bidi="ar"/>
              </w:rPr>
              <w:t>每次扣5分</w:t>
            </w:r>
          </w:p>
        </w:tc>
      </w:tr>
      <w:tr w14:paraId="7D35D7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9" w:hRule="atLeast"/>
          <w:jc w:val="center"/>
        </w:trPr>
        <w:tc>
          <w:tcPr>
            <w:tcW w:w="1177" w:type="dxa"/>
            <w:vMerge w:val="continue"/>
            <w:noWrap w:val="0"/>
            <w:vAlign w:val="top"/>
          </w:tcPr>
          <w:p w14:paraId="12168901">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p>
        </w:tc>
        <w:tc>
          <w:tcPr>
            <w:tcW w:w="826" w:type="dxa"/>
            <w:noWrap w:val="0"/>
            <w:vAlign w:val="center"/>
          </w:tcPr>
          <w:p w14:paraId="5113D99F">
            <w:pPr>
              <w:keepNext w:val="0"/>
              <w:keepLines w:val="0"/>
              <w:pageBreakBefore w:val="0"/>
              <w:kinsoku/>
              <w:wordWrap/>
              <w:overflowPunct/>
              <w:topLinePunct w:val="0"/>
              <w:autoSpaceDE/>
              <w:autoSpaceDN/>
              <w:bidi w:val="0"/>
              <w:snapToGrid w:val="0"/>
              <w:spacing w:line="240" w:lineRule="auto"/>
              <w:ind w:firstLine="0" w:firstLineChars="0"/>
              <w:jc w:val="center"/>
              <w:textAlignment w:val="auto"/>
              <w:rPr>
                <w:rFonts w:hint="eastAsia" w:ascii="宋体" w:hAnsi="宋体" w:eastAsia="宋体" w:cs="宋体"/>
                <w:color w:val="auto"/>
                <w:sz w:val="24"/>
              </w:rPr>
            </w:pPr>
            <w:r>
              <w:rPr>
                <w:rFonts w:hint="eastAsia" w:ascii="宋体" w:hAnsi="宋体" w:eastAsia="宋体" w:cs="宋体"/>
                <w:color w:val="auto"/>
                <w:sz w:val="24"/>
              </w:rPr>
              <w:t>16</w:t>
            </w:r>
          </w:p>
        </w:tc>
        <w:tc>
          <w:tcPr>
            <w:tcW w:w="5937" w:type="dxa"/>
            <w:noWrap w:val="0"/>
            <w:vAlign w:val="center"/>
          </w:tcPr>
          <w:p w14:paraId="3D863DCD">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r>
              <w:rPr>
                <w:rFonts w:hint="eastAsia" w:ascii="宋体" w:hAnsi="宋体" w:eastAsia="宋体" w:cs="宋体"/>
                <w:color w:val="auto"/>
                <w:sz w:val="24"/>
              </w:rPr>
              <w:t>配送成品原料无包装的</w:t>
            </w:r>
          </w:p>
        </w:tc>
        <w:tc>
          <w:tcPr>
            <w:tcW w:w="1793" w:type="dxa"/>
            <w:noWrap w:val="0"/>
            <w:vAlign w:val="center"/>
          </w:tcPr>
          <w:p w14:paraId="2533C123">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eastAsia" w:ascii="宋体" w:hAnsi="宋体" w:eastAsia="宋体" w:cs="宋体"/>
                <w:color w:val="auto"/>
                <w:kern w:val="0"/>
                <w:sz w:val="24"/>
                <w:u w:val="none"/>
                <w:lang w:bidi="ar"/>
              </w:rPr>
            </w:pPr>
            <w:r>
              <w:rPr>
                <w:rFonts w:hint="eastAsia" w:ascii="宋体" w:hAnsi="宋体" w:eastAsia="宋体" w:cs="宋体"/>
                <w:i w:val="0"/>
                <w:iCs w:val="0"/>
                <w:color w:val="auto"/>
                <w:kern w:val="0"/>
                <w:sz w:val="24"/>
                <w:szCs w:val="24"/>
                <w:u w:val="none"/>
                <w:lang w:val="en-US" w:eastAsia="zh-CN" w:bidi="ar"/>
              </w:rPr>
              <w:t>每次扣2分</w:t>
            </w:r>
          </w:p>
        </w:tc>
      </w:tr>
      <w:tr w14:paraId="45A246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9" w:hRule="atLeast"/>
          <w:jc w:val="center"/>
        </w:trPr>
        <w:tc>
          <w:tcPr>
            <w:tcW w:w="1177" w:type="dxa"/>
            <w:vMerge w:val="continue"/>
            <w:noWrap w:val="0"/>
            <w:vAlign w:val="top"/>
          </w:tcPr>
          <w:p w14:paraId="62AB256B">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p>
        </w:tc>
        <w:tc>
          <w:tcPr>
            <w:tcW w:w="826" w:type="dxa"/>
            <w:noWrap w:val="0"/>
            <w:vAlign w:val="center"/>
          </w:tcPr>
          <w:p w14:paraId="2E1BB427">
            <w:pPr>
              <w:keepNext w:val="0"/>
              <w:keepLines w:val="0"/>
              <w:pageBreakBefore w:val="0"/>
              <w:kinsoku/>
              <w:wordWrap/>
              <w:overflowPunct/>
              <w:topLinePunct w:val="0"/>
              <w:autoSpaceDE/>
              <w:autoSpaceDN/>
              <w:bidi w:val="0"/>
              <w:snapToGrid w:val="0"/>
              <w:spacing w:line="240" w:lineRule="auto"/>
              <w:ind w:firstLine="0" w:firstLineChars="0"/>
              <w:jc w:val="center"/>
              <w:textAlignment w:val="auto"/>
              <w:rPr>
                <w:rFonts w:hint="eastAsia" w:ascii="宋体" w:hAnsi="宋体" w:eastAsia="宋体" w:cs="宋体"/>
                <w:color w:val="auto"/>
                <w:sz w:val="24"/>
              </w:rPr>
            </w:pPr>
            <w:r>
              <w:rPr>
                <w:rFonts w:hint="eastAsia" w:ascii="宋体" w:hAnsi="宋体" w:eastAsia="宋体" w:cs="宋体"/>
                <w:color w:val="auto"/>
                <w:sz w:val="24"/>
              </w:rPr>
              <w:t>17</w:t>
            </w:r>
          </w:p>
        </w:tc>
        <w:tc>
          <w:tcPr>
            <w:tcW w:w="5937" w:type="dxa"/>
            <w:noWrap w:val="0"/>
            <w:vAlign w:val="center"/>
          </w:tcPr>
          <w:p w14:paraId="3FE351EA">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r>
              <w:rPr>
                <w:rFonts w:hint="eastAsia" w:ascii="宋体" w:hAnsi="宋体" w:eastAsia="宋体" w:cs="宋体"/>
                <w:color w:val="auto"/>
                <w:sz w:val="24"/>
              </w:rPr>
              <w:t>配送成品原料无生产批号或 “三无”的</w:t>
            </w:r>
          </w:p>
        </w:tc>
        <w:tc>
          <w:tcPr>
            <w:tcW w:w="1793" w:type="dxa"/>
            <w:noWrap w:val="0"/>
            <w:vAlign w:val="center"/>
          </w:tcPr>
          <w:p w14:paraId="4950CCE3">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eastAsia" w:ascii="宋体" w:hAnsi="宋体" w:eastAsia="宋体" w:cs="宋体"/>
                <w:color w:val="auto"/>
                <w:kern w:val="0"/>
                <w:sz w:val="24"/>
                <w:u w:val="none"/>
                <w:lang w:bidi="ar"/>
              </w:rPr>
            </w:pPr>
            <w:r>
              <w:rPr>
                <w:rFonts w:hint="eastAsia" w:ascii="宋体" w:hAnsi="宋体" w:eastAsia="宋体" w:cs="宋体"/>
                <w:i w:val="0"/>
                <w:iCs w:val="0"/>
                <w:color w:val="auto"/>
                <w:kern w:val="0"/>
                <w:sz w:val="24"/>
                <w:szCs w:val="24"/>
                <w:u w:val="none"/>
                <w:lang w:val="en-US" w:eastAsia="zh-CN" w:bidi="ar"/>
              </w:rPr>
              <w:t>每次扣2分</w:t>
            </w:r>
          </w:p>
        </w:tc>
      </w:tr>
      <w:tr w14:paraId="3C0509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9" w:hRule="atLeast"/>
          <w:jc w:val="center"/>
        </w:trPr>
        <w:tc>
          <w:tcPr>
            <w:tcW w:w="1177" w:type="dxa"/>
            <w:vMerge w:val="continue"/>
            <w:noWrap w:val="0"/>
            <w:vAlign w:val="top"/>
          </w:tcPr>
          <w:p w14:paraId="4748E99D">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p>
        </w:tc>
        <w:tc>
          <w:tcPr>
            <w:tcW w:w="826" w:type="dxa"/>
            <w:noWrap w:val="0"/>
            <w:vAlign w:val="center"/>
          </w:tcPr>
          <w:p w14:paraId="4BE2D2AA">
            <w:pPr>
              <w:keepNext w:val="0"/>
              <w:keepLines w:val="0"/>
              <w:pageBreakBefore w:val="0"/>
              <w:kinsoku/>
              <w:wordWrap/>
              <w:overflowPunct/>
              <w:topLinePunct w:val="0"/>
              <w:autoSpaceDE/>
              <w:autoSpaceDN/>
              <w:bidi w:val="0"/>
              <w:snapToGrid w:val="0"/>
              <w:spacing w:line="240" w:lineRule="auto"/>
              <w:ind w:firstLine="0" w:firstLineChars="0"/>
              <w:jc w:val="center"/>
              <w:textAlignment w:val="auto"/>
              <w:rPr>
                <w:rFonts w:hint="eastAsia" w:ascii="宋体" w:hAnsi="宋体" w:eastAsia="宋体" w:cs="宋体"/>
                <w:color w:val="auto"/>
                <w:sz w:val="24"/>
              </w:rPr>
            </w:pPr>
            <w:r>
              <w:rPr>
                <w:rFonts w:hint="eastAsia" w:ascii="宋体" w:hAnsi="宋体" w:eastAsia="宋体" w:cs="宋体"/>
                <w:color w:val="auto"/>
                <w:sz w:val="24"/>
              </w:rPr>
              <w:t>18</w:t>
            </w:r>
          </w:p>
        </w:tc>
        <w:tc>
          <w:tcPr>
            <w:tcW w:w="5937" w:type="dxa"/>
            <w:noWrap w:val="0"/>
            <w:vAlign w:val="center"/>
          </w:tcPr>
          <w:p w14:paraId="1C4A5A72">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r>
              <w:rPr>
                <w:rFonts w:hint="eastAsia" w:ascii="宋体" w:hAnsi="宋体" w:eastAsia="宋体" w:cs="宋体"/>
                <w:color w:val="auto"/>
                <w:sz w:val="24"/>
              </w:rPr>
              <w:t>配送无卫生许可证的食材及原辅料的</w:t>
            </w:r>
          </w:p>
        </w:tc>
        <w:tc>
          <w:tcPr>
            <w:tcW w:w="1793" w:type="dxa"/>
            <w:noWrap w:val="0"/>
            <w:vAlign w:val="center"/>
          </w:tcPr>
          <w:p w14:paraId="37561C79">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eastAsia" w:ascii="宋体" w:hAnsi="宋体" w:eastAsia="宋体" w:cs="宋体"/>
                <w:color w:val="auto"/>
                <w:kern w:val="0"/>
                <w:sz w:val="24"/>
                <w:u w:val="none"/>
                <w:lang w:bidi="ar"/>
              </w:rPr>
            </w:pPr>
            <w:r>
              <w:rPr>
                <w:rFonts w:hint="eastAsia" w:ascii="宋体" w:hAnsi="宋体" w:eastAsia="宋体" w:cs="宋体"/>
                <w:i w:val="0"/>
                <w:iCs w:val="0"/>
                <w:color w:val="auto"/>
                <w:kern w:val="0"/>
                <w:sz w:val="24"/>
                <w:szCs w:val="24"/>
                <w:u w:val="none"/>
                <w:lang w:val="en-US" w:eastAsia="zh-CN" w:bidi="ar"/>
              </w:rPr>
              <w:t>每次扣5分</w:t>
            </w:r>
          </w:p>
        </w:tc>
      </w:tr>
      <w:tr w14:paraId="50938B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9" w:hRule="atLeast"/>
          <w:jc w:val="center"/>
        </w:trPr>
        <w:tc>
          <w:tcPr>
            <w:tcW w:w="1177" w:type="dxa"/>
            <w:vMerge w:val="continue"/>
            <w:noWrap w:val="0"/>
            <w:vAlign w:val="top"/>
          </w:tcPr>
          <w:p w14:paraId="36B2389B">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p>
        </w:tc>
        <w:tc>
          <w:tcPr>
            <w:tcW w:w="826" w:type="dxa"/>
            <w:noWrap w:val="0"/>
            <w:vAlign w:val="center"/>
          </w:tcPr>
          <w:p w14:paraId="3E62ABC9">
            <w:pPr>
              <w:keepNext w:val="0"/>
              <w:keepLines w:val="0"/>
              <w:pageBreakBefore w:val="0"/>
              <w:kinsoku/>
              <w:wordWrap/>
              <w:overflowPunct/>
              <w:topLinePunct w:val="0"/>
              <w:autoSpaceDE/>
              <w:autoSpaceDN/>
              <w:bidi w:val="0"/>
              <w:snapToGrid w:val="0"/>
              <w:spacing w:line="240" w:lineRule="auto"/>
              <w:ind w:firstLine="0" w:firstLineChars="0"/>
              <w:jc w:val="center"/>
              <w:textAlignment w:val="auto"/>
              <w:rPr>
                <w:rFonts w:hint="eastAsia" w:ascii="宋体" w:hAnsi="宋体" w:eastAsia="宋体" w:cs="宋体"/>
                <w:color w:val="auto"/>
                <w:sz w:val="24"/>
              </w:rPr>
            </w:pPr>
            <w:r>
              <w:rPr>
                <w:rFonts w:hint="eastAsia" w:ascii="宋体" w:hAnsi="宋体" w:eastAsia="宋体" w:cs="宋体"/>
                <w:color w:val="auto"/>
                <w:sz w:val="24"/>
              </w:rPr>
              <w:t>19</w:t>
            </w:r>
          </w:p>
        </w:tc>
        <w:tc>
          <w:tcPr>
            <w:tcW w:w="5937" w:type="dxa"/>
            <w:noWrap w:val="0"/>
            <w:vAlign w:val="center"/>
          </w:tcPr>
          <w:p w14:paraId="27BD3CC5">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r>
              <w:rPr>
                <w:rFonts w:hint="eastAsia" w:ascii="宋体" w:hAnsi="宋体" w:eastAsia="宋体" w:cs="宋体"/>
                <w:color w:val="auto"/>
                <w:sz w:val="24"/>
              </w:rPr>
              <w:t>提供未经检验或检验不合格出厂的食材原料的</w:t>
            </w:r>
          </w:p>
        </w:tc>
        <w:tc>
          <w:tcPr>
            <w:tcW w:w="1793" w:type="dxa"/>
            <w:noWrap w:val="0"/>
            <w:vAlign w:val="center"/>
          </w:tcPr>
          <w:p w14:paraId="5B686D69">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eastAsia" w:ascii="宋体" w:hAnsi="宋体" w:eastAsia="宋体" w:cs="宋体"/>
                <w:color w:val="auto"/>
                <w:kern w:val="0"/>
                <w:sz w:val="24"/>
                <w:u w:val="none"/>
                <w:lang w:bidi="ar"/>
              </w:rPr>
            </w:pPr>
            <w:r>
              <w:rPr>
                <w:rFonts w:hint="eastAsia" w:ascii="宋体" w:hAnsi="宋体" w:eastAsia="宋体" w:cs="宋体"/>
                <w:i w:val="0"/>
                <w:iCs w:val="0"/>
                <w:color w:val="auto"/>
                <w:kern w:val="0"/>
                <w:sz w:val="24"/>
                <w:szCs w:val="24"/>
                <w:u w:val="none"/>
                <w:lang w:val="en-US" w:eastAsia="zh-CN" w:bidi="ar"/>
              </w:rPr>
              <w:t>每次扣5分</w:t>
            </w:r>
          </w:p>
        </w:tc>
      </w:tr>
      <w:tr w14:paraId="1A0066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jc w:val="center"/>
        </w:trPr>
        <w:tc>
          <w:tcPr>
            <w:tcW w:w="1177" w:type="dxa"/>
            <w:vMerge w:val="continue"/>
            <w:noWrap w:val="0"/>
            <w:vAlign w:val="top"/>
          </w:tcPr>
          <w:p w14:paraId="288517A6">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p>
        </w:tc>
        <w:tc>
          <w:tcPr>
            <w:tcW w:w="826" w:type="dxa"/>
            <w:noWrap w:val="0"/>
            <w:vAlign w:val="center"/>
          </w:tcPr>
          <w:p w14:paraId="5BD76CA0">
            <w:pPr>
              <w:keepNext w:val="0"/>
              <w:keepLines w:val="0"/>
              <w:pageBreakBefore w:val="0"/>
              <w:kinsoku/>
              <w:wordWrap/>
              <w:overflowPunct/>
              <w:topLinePunct w:val="0"/>
              <w:autoSpaceDE/>
              <w:autoSpaceDN/>
              <w:bidi w:val="0"/>
              <w:snapToGrid w:val="0"/>
              <w:spacing w:line="240" w:lineRule="auto"/>
              <w:ind w:firstLine="0" w:firstLineChars="0"/>
              <w:jc w:val="center"/>
              <w:textAlignment w:val="auto"/>
              <w:rPr>
                <w:rFonts w:hint="eastAsia" w:ascii="宋体" w:hAnsi="宋体" w:eastAsia="宋体" w:cs="宋体"/>
                <w:color w:val="auto"/>
                <w:sz w:val="24"/>
              </w:rPr>
            </w:pPr>
            <w:r>
              <w:rPr>
                <w:rFonts w:hint="eastAsia" w:ascii="宋体" w:hAnsi="宋体" w:eastAsia="宋体" w:cs="宋体"/>
                <w:color w:val="auto"/>
                <w:sz w:val="24"/>
              </w:rPr>
              <w:t>20</w:t>
            </w:r>
          </w:p>
        </w:tc>
        <w:tc>
          <w:tcPr>
            <w:tcW w:w="5937" w:type="dxa"/>
            <w:noWrap w:val="0"/>
            <w:vAlign w:val="center"/>
          </w:tcPr>
          <w:p w14:paraId="4AC157D1">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r>
              <w:rPr>
                <w:rFonts w:hint="eastAsia" w:ascii="宋体" w:hAnsi="宋体" w:eastAsia="宋体" w:cs="宋体"/>
                <w:color w:val="auto"/>
                <w:sz w:val="24"/>
              </w:rPr>
              <w:t>配送的食材包装变形、渗漏的</w:t>
            </w:r>
          </w:p>
        </w:tc>
        <w:tc>
          <w:tcPr>
            <w:tcW w:w="1793" w:type="dxa"/>
            <w:noWrap w:val="0"/>
            <w:vAlign w:val="center"/>
          </w:tcPr>
          <w:p w14:paraId="01945230">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eastAsia" w:ascii="宋体" w:hAnsi="宋体" w:eastAsia="宋体" w:cs="宋体"/>
                <w:color w:val="auto"/>
                <w:kern w:val="0"/>
                <w:sz w:val="24"/>
                <w:u w:val="none"/>
                <w:lang w:bidi="ar"/>
              </w:rPr>
            </w:pPr>
            <w:r>
              <w:rPr>
                <w:rFonts w:hint="eastAsia" w:ascii="宋体" w:hAnsi="宋体" w:eastAsia="宋体" w:cs="宋体"/>
                <w:i w:val="0"/>
                <w:iCs w:val="0"/>
                <w:color w:val="auto"/>
                <w:kern w:val="0"/>
                <w:sz w:val="24"/>
                <w:szCs w:val="24"/>
                <w:u w:val="none"/>
                <w:lang w:val="en-US" w:eastAsia="zh-CN" w:bidi="ar"/>
              </w:rPr>
              <w:t>每次扣1分</w:t>
            </w:r>
          </w:p>
        </w:tc>
      </w:tr>
      <w:tr w14:paraId="50E9AB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9" w:hRule="atLeast"/>
          <w:jc w:val="center"/>
        </w:trPr>
        <w:tc>
          <w:tcPr>
            <w:tcW w:w="1177" w:type="dxa"/>
            <w:vMerge w:val="continue"/>
            <w:noWrap w:val="0"/>
            <w:vAlign w:val="top"/>
          </w:tcPr>
          <w:p w14:paraId="6CDA1BFB">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p>
        </w:tc>
        <w:tc>
          <w:tcPr>
            <w:tcW w:w="826" w:type="dxa"/>
            <w:noWrap w:val="0"/>
            <w:vAlign w:val="center"/>
          </w:tcPr>
          <w:p w14:paraId="7D649711">
            <w:pPr>
              <w:keepNext w:val="0"/>
              <w:keepLines w:val="0"/>
              <w:pageBreakBefore w:val="0"/>
              <w:kinsoku/>
              <w:wordWrap/>
              <w:overflowPunct/>
              <w:topLinePunct w:val="0"/>
              <w:autoSpaceDE/>
              <w:autoSpaceDN/>
              <w:bidi w:val="0"/>
              <w:snapToGrid w:val="0"/>
              <w:spacing w:line="240" w:lineRule="auto"/>
              <w:ind w:firstLine="0" w:firstLineChars="0"/>
              <w:jc w:val="center"/>
              <w:textAlignment w:val="auto"/>
              <w:rPr>
                <w:rFonts w:hint="eastAsia" w:ascii="宋体" w:hAnsi="宋体" w:eastAsia="宋体" w:cs="宋体"/>
                <w:color w:val="auto"/>
                <w:sz w:val="24"/>
              </w:rPr>
            </w:pPr>
            <w:r>
              <w:rPr>
                <w:rFonts w:hint="eastAsia" w:ascii="宋体" w:hAnsi="宋体" w:eastAsia="宋体" w:cs="宋体"/>
                <w:color w:val="auto"/>
                <w:sz w:val="24"/>
              </w:rPr>
              <w:t>21</w:t>
            </w:r>
          </w:p>
        </w:tc>
        <w:tc>
          <w:tcPr>
            <w:tcW w:w="5937" w:type="dxa"/>
            <w:noWrap w:val="0"/>
            <w:vAlign w:val="center"/>
          </w:tcPr>
          <w:p w14:paraId="1416DA3E">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r>
              <w:rPr>
                <w:rFonts w:hint="eastAsia" w:ascii="宋体" w:hAnsi="宋体" w:eastAsia="宋体" w:cs="宋体"/>
                <w:color w:val="auto"/>
                <w:sz w:val="24"/>
              </w:rPr>
              <w:t>配送的食材无正当理由私自调换外包装的</w:t>
            </w:r>
          </w:p>
        </w:tc>
        <w:tc>
          <w:tcPr>
            <w:tcW w:w="1793" w:type="dxa"/>
            <w:noWrap w:val="0"/>
            <w:vAlign w:val="center"/>
          </w:tcPr>
          <w:p w14:paraId="7AD08B76">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eastAsia" w:ascii="宋体" w:hAnsi="宋体" w:eastAsia="宋体" w:cs="宋体"/>
                <w:color w:val="auto"/>
                <w:kern w:val="0"/>
                <w:sz w:val="24"/>
                <w:u w:val="none"/>
                <w:lang w:bidi="ar"/>
              </w:rPr>
            </w:pPr>
            <w:r>
              <w:rPr>
                <w:rFonts w:hint="eastAsia" w:ascii="宋体" w:hAnsi="宋体" w:eastAsia="宋体" w:cs="宋体"/>
                <w:i w:val="0"/>
                <w:iCs w:val="0"/>
                <w:color w:val="auto"/>
                <w:kern w:val="0"/>
                <w:sz w:val="24"/>
                <w:szCs w:val="24"/>
                <w:u w:val="none"/>
                <w:lang w:val="en-US" w:eastAsia="zh-CN" w:bidi="ar"/>
              </w:rPr>
              <w:t>每次扣1分</w:t>
            </w:r>
          </w:p>
        </w:tc>
      </w:tr>
      <w:tr w14:paraId="72AF0C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9" w:hRule="atLeast"/>
          <w:jc w:val="center"/>
        </w:trPr>
        <w:tc>
          <w:tcPr>
            <w:tcW w:w="1177" w:type="dxa"/>
            <w:vMerge w:val="continue"/>
            <w:noWrap w:val="0"/>
            <w:vAlign w:val="top"/>
          </w:tcPr>
          <w:p w14:paraId="566BF365">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p>
        </w:tc>
        <w:tc>
          <w:tcPr>
            <w:tcW w:w="826" w:type="dxa"/>
            <w:noWrap w:val="0"/>
            <w:vAlign w:val="center"/>
          </w:tcPr>
          <w:p w14:paraId="31C5EA32">
            <w:pPr>
              <w:keepNext w:val="0"/>
              <w:keepLines w:val="0"/>
              <w:pageBreakBefore w:val="0"/>
              <w:kinsoku/>
              <w:wordWrap/>
              <w:overflowPunct/>
              <w:topLinePunct w:val="0"/>
              <w:autoSpaceDE/>
              <w:autoSpaceDN/>
              <w:bidi w:val="0"/>
              <w:snapToGrid w:val="0"/>
              <w:spacing w:line="240" w:lineRule="auto"/>
              <w:ind w:firstLine="0" w:firstLineChars="0"/>
              <w:jc w:val="center"/>
              <w:textAlignment w:val="auto"/>
              <w:rPr>
                <w:rFonts w:hint="eastAsia" w:ascii="宋体" w:hAnsi="宋体" w:eastAsia="宋体" w:cs="宋体"/>
                <w:color w:val="auto"/>
                <w:sz w:val="24"/>
              </w:rPr>
            </w:pPr>
            <w:r>
              <w:rPr>
                <w:rFonts w:hint="eastAsia" w:ascii="宋体" w:hAnsi="宋体" w:eastAsia="宋体" w:cs="宋体"/>
                <w:color w:val="auto"/>
                <w:sz w:val="24"/>
              </w:rPr>
              <w:t>22</w:t>
            </w:r>
          </w:p>
        </w:tc>
        <w:tc>
          <w:tcPr>
            <w:tcW w:w="5937" w:type="dxa"/>
            <w:noWrap w:val="0"/>
            <w:vAlign w:val="center"/>
          </w:tcPr>
          <w:p w14:paraId="18A5F87F">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r>
              <w:rPr>
                <w:rFonts w:hint="eastAsia" w:ascii="宋体" w:hAnsi="宋体" w:eastAsia="宋体" w:cs="宋体"/>
                <w:color w:val="auto"/>
                <w:sz w:val="24"/>
              </w:rPr>
              <w:t>配送的食材外包装污染未造成内装食材受污损的</w:t>
            </w:r>
          </w:p>
        </w:tc>
        <w:tc>
          <w:tcPr>
            <w:tcW w:w="1793" w:type="dxa"/>
            <w:noWrap w:val="0"/>
            <w:vAlign w:val="center"/>
          </w:tcPr>
          <w:p w14:paraId="3F16EFA5">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eastAsia" w:ascii="宋体" w:hAnsi="宋体" w:eastAsia="宋体" w:cs="宋体"/>
                <w:color w:val="auto"/>
                <w:kern w:val="0"/>
                <w:sz w:val="24"/>
                <w:u w:val="none"/>
                <w:lang w:bidi="ar"/>
              </w:rPr>
            </w:pPr>
            <w:r>
              <w:rPr>
                <w:rFonts w:hint="eastAsia" w:ascii="宋体" w:hAnsi="宋体" w:eastAsia="宋体" w:cs="宋体"/>
                <w:i w:val="0"/>
                <w:iCs w:val="0"/>
                <w:color w:val="auto"/>
                <w:kern w:val="0"/>
                <w:sz w:val="24"/>
                <w:szCs w:val="24"/>
                <w:u w:val="none"/>
                <w:lang w:val="en-US" w:eastAsia="zh-CN" w:bidi="ar"/>
              </w:rPr>
              <w:t>每次扣1分</w:t>
            </w:r>
          </w:p>
        </w:tc>
      </w:tr>
      <w:tr w14:paraId="3A2D7C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9" w:hRule="atLeast"/>
          <w:jc w:val="center"/>
        </w:trPr>
        <w:tc>
          <w:tcPr>
            <w:tcW w:w="1177" w:type="dxa"/>
            <w:vMerge w:val="continue"/>
            <w:noWrap w:val="0"/>
            <w:vAlign w:val="top"/>
          </w:tcPr>
          <w:p w14:paraId="7DA3C03F">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p>
        </w:tc>
        <w:tc>
          <w:tcPr>
            <w:tcW w:w="826" w:type="dxa"/>
            <w:noWrap w:val="0"/>
            <w:vAlign w:val="center"/>
          </w:tcPr>
          <w:p w14:paraId="226A1CE3">
            <w:pPr>
              <w:keepNext w:val="0"/>
              <w:keepLines w:val="0"/>
              <w:pageBreakBefore w:val="0"/>
              <w:kinsoku/>
              <w:wordWrap/>
              <w:overflowPunct/>
              <w:topLinePunct w:val="0"/>
              <w:autoSpaceDE/>
              <w:autoSpaceDN/>
              <w:bidi w:val="0"/>
              <w:snapToGrid w:val="0"/>
              <w:spacing w:line="240" w:lineRule="auto"/>
              <w:ind w:firstLine="0" w:firstLineChars="0"/>
              <w:jc w:val="center"/>
              <w:textAlignment w:val="auto"/>
              <w:rPr>
                <w:rFonts w:hint="eastAsia" w:ascii="宋体" w:hAnsi="宋体" w:eastAsia="宋体" w:cs="宋体"/>
                <w:color w:val="auto"/>
                <w:sz w:val="24"/>
              </w:rPr>
            </w:pPr>
            <w:r>
              <w:rPr>
                <w:rFonts w:hint="eastAsia" w:ascii="宋体" w:hAnsi="宋体" w:eastAsia="宋体" w:cs="宋体"/>
                <w:color w:val="auto"/>
                <w:sz w:val="24"/>
              </w:rPr>
              <w:t>23</w:t>
            </w:r>
          </w:p>
        </w:tc>
        <w:tc>
          <w:tcPr>
            <w:tcW w:w="5937" w:type="dxa"/>
            <w:noWrap w:val="0"/>
            <w:vAlign w:val="center"/>
          </w:tcPr>
          <w:p w14:paraId="05C5463E">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r>
              <w:rPr>
                <w:rFonts w:hint="eastAsia" w:ascii="宋体" w:hAnsi="宋体" w:eastAsia="宋体" w:cs="宋体"/>
                <w:color w:val="auto"/>
                <w:sz w:val="24"/>
              </w:rPr>
              <w:t>配送油脂产品不洁净、浑浊的</w:t>
            </w:r>
          </w:p>
        </w:tc>
        <w:tc>
          <w:tcPr>
            <w:tcW w:w="1793" w:type="dxa"/>
            <w:noWrap w:val="0"/>
            <w:vAlign w:val="center"/>
          </w:tcPr>
          <w:p w14:paraId="33E92714">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eastAsia" w:ascii="宋体" w:hAnsi="宋体" w:eastAsia="宋体" w:cs="宋体"/>
                <w:color w:val="auto"/>
                <w:kern w:val="0"/>
                <w:sz w:val="24"/>
                <w:u w:val="none"/>
                <w:lang w:bidi="ar"/>
              </w:rPr>
            </w:pPr>
            <w:r>
              <w:rPr>
                <w:rFonts w:hint="eastAsia" w:ascii="宋体" w:hAnsi="宋体" w:eastAsia="宋体" w:cs="宋体"/>
                <w:i w:val="0"/>
                <w:iCs w:val="0"/>
                <w:color w:val="auto"/>
                <w:kern w:val="0"/>
                <w:sz w:val="24"/>
                <w:szCs w:val="24"/>
                <w:u w:val="none"/>
                <w:lang w:val="en-US" w:eastAsia="zh-CN" w:bidi="ar"/>
              </w:rPr>
              <w:t>每次扣2分</w:t>
            </w:r>
          </w:p>
        </w:tc>
      </w:tr>
      <w:tr w14:paraId="4F0E9A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177" w:type="dxa"/>
            <w:vMerge w:val="continue"/>
            <w:noWrap w:val="0"/>
            <w:vAlign w:val="top"/>
          </w:tcPr>
          <w:p w14:paraId="03EBC975">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p>
        </w:tc>
        <w:tc>
          <w:tcPr>
            <w:tcW w:w="826" w:type="dxa"/>
            <w:noWrap w:val="0"/>
            <w:vAlign w:val="center"/>
          </w:tcPr>
          <w:p w14:paraId="6805F2C2">
            <w:pPr>
              <w:keepNext w:val="0"/>
              <w:keepLines w:val="0"/>
              <w:pageBreakBefore w:val="0"/>
              <w:kinsoku/>
              <w:wordWrap/>
              <w:overflowPunct/>
              <w:topLinePunct w:val="0"/>
              <w:autoSpaceDE/>
              <w:autoSpaceDN/>
              <w:bidi w:val="0"/>
              <w:snapToGrid w:val="0"/>
              <w:spacing w:line="240" w:lineRule="auto"/>
              <w:ind w:firstLine="0" w:firstLineChars="0"/>
              <w:jc w:val="center"/>
              <w:textAlignment w:val="auto"/>
              <w:rPr>
                <w:rFonts w:hint="eastAsia" w:ascii="宋体" w:hAnsi="宋体" w:eastAsia="宋体" w:cs="宋体"/>
                <w:color w:val="auto"/>
                <w:sz w:val="24"/>
              </w:rPr>
            </w:pPr>
            <w:r>
              <w:rPr>
                <w:rFonts w:hint="eastAsia" w:ascii="宋体" w:hAnsi="宋体" w:eastAsia="宋体" w:cs="宋体"/>
                <w:color w:val="auto"/>
                <w:sz w:val="24"/>
              </w:rPr>
              <w:t>24</w:t>
            </w:r>
          </w:p>
        </w:tc>
        <w:tc>
          <w:tcPr>
            <w:tcW w:w="5937" w:type="dxa"/>
            <w:noWrap w:val="0"/>
            <w:vAlign w:val="center"/>
          </w:tcPr>
          <w:p w14:paraId="73CFBFB6">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r>
              <w:rPr>
                <w:rFonts w:hint="eastAsia" w:ascii="宋体" w:hAnsi="宋体" w:eastAsia="宋体" w:cs="宋体"/>
                <w:color w:val="auto"/>
                <w:sz w:val="24"/>
              </w:rPr>
              <w:t>配送的米面油类等无与产品名称、商标相一致的食品卫生检验合格证</w:t>
            </w:r>
          </w:p>
        </w:tc>
        <w:tc>
          <w:tcPr>
            <w:tcW w:w="1793" w:type="dxa"/>
            <w:noWrap w:val="0"/>
            <w:vAlign w:val="center"/>
          </w:tcPr>
          <w:p w14:paraId="6A408301">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eastAsia" w:ascii="宋体" w:hAnsi="宋体" w:eastAsia="宋体" w:cs="宋体"/>
                <w:color w:val="auto"/>
                <w:kern w:val="0"/>
                <w:sz w:val="24"/>
                <w:u w:val="none"/>
                <w:lang w:bidi="ar"/>
              </w:rPr>
            </w:pPr>
            <w:r>
              <w:rPr>
                <w:rFonts w:hint="eastAsia" w:ascii="宋体" w:hAnsi="宋体" w:eastAsia="宋体" w:cs="宋体"/>
                <w:i w:val="0"/>
                <w:iCs w:val="0"/>
                <w:color w:val="auto"/>
                <w:kern w:val="0"/>
                <w:sz w:val="24"/>
                <w:szCs w:val="24"/>
                <w:u w:val="none"/>
                <w:lang w:val="en-US" w:eastAsia="zh-CN" w:bidi="ar"/>
              </w:rPr>
              <w:t>每次扣2分</w:t>
            </w:r>
          </w:p>
        </w:tc>
      </w:tr>
      <w:tr w14:paraId="59DA14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177" w:type="dxa"/>
            <w:vMerge w:val="continue"/>
            <w:noWrap w:val="0"/>
            <w:vAlign w:val="top"/>
          </w:tcPr>
          <w:p w14:paraId="56BB40E6">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p>
        </w:tc>
        <w:tc>
          <w:tcPr>
            <w:tcW w:w="826" w:type="dxa"/>
            <w:noWrap w:val="0"/>
            <w:vAlign w:val="center"/>
          </w:tcPr>
          <w:p w14:paraId="214D1E17">
            <w:pPr>
              <w:keepNext w:val="0"/>
              <w:keepLines w:val="0"/>
              <w:pageBreakBefore w:val="0"/>
              <w:kinsoku/>
              <w:wordWrap/>
              <w:overflowPunct/>
              <w:topLinePunct w:val="0"/>
              <w:autoSpaceDE/>
              <w:autoSpaceDN/>
              <w:bidi w:val="0"/>
              <w:snapToGrid w:val="0"/>
              <w:spacing w:line="240" w:lineRule="auto"/>
              <w:ind w:firstLine="0" w:firstLineChars="0"/>
              <w:jc w:val="center"/>
              <w:textAlignment w:val="auto"/>
              <w:rPr>
                <w:rFonts w:hint="eastAsia" w:ascii="宋体" w:hAnsi="宋体" w:eastAsia="宋体" w:cs="宋体"/>
                <w:color w:val="auto"/>
                <w:sz w:val="24"/>
              </w:rPr>
            </w:pPr>
            <w:r>
              <w:rPr>
                <w:rFonts w:hint="eastAsia" w:ascii="宋体" w:hAnsi="宋体" w:eastAsia="宋体" w:cs="宋体"/>
                <w:color w:val="auto"/>
                <w:sz w:val="24"/>
              </w:rPr>
              <w:t>25</w:t>
            </w:r>
          </w:p>
        </w:tc>
        <w:tc>
          <w:tcPr>
            <w:tcW w:w="5937" w:type="dxa"/>
            <w:noWrap w:val="0"/>
            <w:vAlign w:val="center"/>
          </w:tcPr>
          <w:p w14:paraId="1FA4D3AD">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r>
              <w:rPr>
                <w:rFonts w:hint="eastAsia" w:ascii="宋体" w:hAnsi="宋体" w:eastAsia="宋体" w:cs="宋体"/>
                <w:color w:val="auto"/>
                <w:sz w:val="24"/>
              </w:rPr>
              <w:t>配送的食材有发潮现象的</w:t>
            </w:r>
          </w:p>
        </w:tc>
        <w:tc>
          <w:tcPr>
            <w:tcW w:w="1793" w:type="dxa"/>
            <w:noWrap w:val="0"/>
            <w:vAlign w:val="center"/>
          </w:tcPr>
          <w:p w14:paraId="12B722C1">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eastAsia" w:ascii="宋体" w:hAnsi="宋体" w:eastAsia="宋体" w:cs="宋体"/>
                <w:color w:val="auto"/>
                <w:kern w:val="0"/>
                <w:sz w:val="24"/>
                <w:u w:val="none"/>
                <w:lang w:bidi="ar"/>
              </w:rPr>
            </w:pPr>
            <w:r>
              <w:rPr>
                <w:rFonts w:hint="eastAsia" w:ascii="宋体" w:hAnsi="宋体" w:eastAsia="宋体" w:cs="宋体"/>
                <w:i w:val="0"/>
                <w:iCs w:val="0"/>
                <w:color w:val="auto"/>
                <w:kern w:val="0"/>
                <w:sz w:val="24"/>
                <w:szCs w:val="24"/>
                <w:u w:val="none"/>
                <w:lang w:val="en-US" w:eastAsia="zh-CN" w:bidi="ar"/>
              </w:rPr>
              <w:t>每次扣2分</w:t>
            </w:r>
          </w:p>
        </w:tc>
      </w:tr>
      <w:tr w14:paraId="1C0643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177" w:type="dxa"/>
            <w:vMerge w:val="continue"/>
            <w:noWrap w:val="0"/>
            <w:vAlign w:val="top"/>
          </w:tcPr>
          <w:p w14:paraId="2BD00493">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p>
        </w:tc>
        <w:tc>
          <w:tcPr>
            <w:tcW w:w="826" w:type="dxa"/>
            <w:noWrap w:val="0"/>
            <w:vAlign w:val="center"/>
          </w:tcPr>
          <w:p w14:paraId="6A445935">
            <w:pPr>
              <w:keepNext w:val="0"/>
              <w:keepLines w:val="0"/>
              <w:pageBreakBefore w:val="0"/>
              <w:kinsoku/>
              <w:wordWrap/>
              <w:overflowPunct/>
              <w:topLinePunct w:val="0"/>
              <w:autoSpaceDE/>
              <w:autoSpaceDN/>
              <w:bidi w:val="0"/>
              <w:snapToGrid w:val="0"/>
              <w:spacing w:line="240" w:lineRule="auto"/>
              <w:ind w:firstLine="0" w:firstLineChars="0"/>
              <w:jc w:val="center"/>
              <w:textAlignment w:val="auto"/>
              <w:rPr>
                <w:rFonts w:hint="eastAsia" w:ascii="宋体" w:hAnsi="宋体" w:eastAsia="宋体" w:cs="宋体"/>
                <w:color w:val="auto"/>
                <w:sz w:val="24"/>
              </w:rPr>
            </w:pPr>
            <w:r>
              <w:rPr>
                <w:rFonts w:hint="eastAsia" w:ascii="宋体" w:hAnsi="宋体" w:eastAsia="宋体" w:cs="宋体"/>
                <w:color w:val="auto"/>
                <w:sz w:val="24"/>
              </w:rPr>
              <w:t>26</w:t>
            </w:r>
          </w:p>
        </w:tc>
        <w:tc>
          <w:tcPr>
            <w:tcW w:w="5937" w:type="dxa"/>
            <w:noWrap w:val="0"/>
            <w:vAlign w:val="center"/>
          </w:tcPr>
          <w:p w14:paraId="2C00D922">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r>
              <w:rPr>
                <w:rFonts w:hint="eastAsia" w:ascii="宋体" w:hAnsi="宋体" w:eastAsia="宋体" w:cs="宋体"/>
                <w:color w:val="auto"/>
                <w:sz w:val="24"/>
              </w:rPr>
              <w:t>配送食材有霉变现象的</w:t>
            </w:r>
          </w:p>
        </w:tc>
        <w:tc>
          <w:tcPr>
            <w:tcW w:w="1793" w:type="dxa"/>
            <w:noWrap w:val="0"/>
            <w:vAlign w:val="center"/>
          </w:tcPr>
          <w:p w14:paraId="7E7953B9">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eastAsia" w:ascii="宋体" w:hAnsi="宋体" w:eastAsia="宋体" w:cs="宋体"/>
                <w:color w:val="auto"/>
                <w:kern w:val="0"/>
                <w:sz w:val="24"/>
                <w:u w:val="none"/>
                <w:lang w:bidi="ar"/>
              </w:rPr>
            </w:pPr>
            <w:r>
              <w:rPr>
                <w:rFonts w:hint="eastAsia" w:ascii="宋体" w:hAnsi="宋体" w:eastAsia="宋体" w:cs="宋体"/>
                <w:i w:val="0"/>
                <w:iCs w:val="0"/>
                <w:color w:val="auto"/>
                <w:kern w:val="0"/>
                <w:sz w:val="24"/>
                <w:szCs w:val="24"/>
                <w:u w:val="none"/>
                <w:lang w:val="en-US" w:eastAsia="zh-CN" w:bidi="ar"/>
              </w:rPr>
              <w:t>每次扣5分</w:t>
            </w:r>
          </w:p>
        </w:tc>
      </w:tr>
      <w:tr w14:paraId="0DF63F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177" w:type="dxa"/>
            <w:vMerge w:val="continue"/>
            <w:noWrap w:val="0"/>
            <w:vAlign w:val="top"/>
          </w:tcPr>
          <w:p w14:paraId="21B40679">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p>
        </w:tc>
        <w:tc>
          <w:tcPr>
            <w:tcW w:w="826" w:type="dxa"/>
            <w:noWrap w:val="0"/>
            <w:vAlign w:val="center"/>
          </w:tcPr>
          <w:p w14:paraId="1208C67D">
            <w:pPr>
              <w:keepNext w:val="0"/>
              <w:keepLines w:val="0"/>
              <w:pageBreakBefore w:val="0"/>
              <w:kinsoku/>
              <w:wordWrap/>
              <w:overflowPunct/>
              <w:topLinePunct w:val="0"/>
              <w:autoSpaceDE/>
              <w:autoSpaceDN/>
              <w:bidi w:val="0"/>
              <w:snapToGrid w:val="0"/>
              <w:spacing w:line="240" w:lineRule="auto"/>
              <w:ind w:firstLine="0" w:firstLineChars="0"/>
              <w:jc w:val="center"/>
              <w:textAlignment w:val="auto"/>
              <w:rPr>
                <w:rFonts w:hint="eastAsia" w:ascii="宋体" w:hAnsi="宋体" w:eastAsia="宋体" w:cs="宋体"/>
                <w:color w:val="auto"/>
                <w:sz w:val="24"/>
              </w:rPr>
            </w:pPr>
            <w:r>
              <w:rPr>
                <w:rFonts w:hint="eastAsia" w:ascii="宋体" w:hAnsi="宋体" w:eastAsia="宋体" w:cs="宋体"/>
                <w:color w:val="auto"/>
                <w:sz w:val="24"/>
              </w:rPr>
              <w:t>27</w:t>
            </w:r>
          </w:p>
        </w:tc>
        <w:tc>
          <w:tcPr>
            <w:tcW w:w="5937" w:type="dxa"/>
            <w:noWrap w:val="0"/>
            <w:vAlign w:val="center"/>
          </w:tcPr>
          <w:p w14:paraId="079E6C52">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r>
              <w:rPr>
                <w:rFonts w:hint="eastAsia" w:ascii="宋体" w:hAnsi="宋体" w:eastAsia="宋体" w:cs="宋体"/>
                <w:color w:val="auto"/>
                <w:sz w:val="24"/>
              </w:rPr>
              <w:t>配送禽蛋外壳有霉点影响品质的</w:t>
            </w:r>
          </w:p>
        </w:tc>
        <w:tc>
          <w:tcPr>
            <w:tcW w:w="1793" w:type="dxa"/>
            <w:noWrap w:val="0"/>
            <w:vAlign w:val="center"/>
          </w:tcPr>
          <w:p w14:paraId="710399B3">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eastAsia" w:ascii="宋体" w:hAnsi="宋体" w:eastAsia="宋体" w:cs="宋体"/>
                <w:color w:val="auto"/>
                <w:kern w:val="0"/>
                <w:sz w:val="24"/>
                <w:u w:val="none"/>
                <w:lang w:bidi="ar"/>
              </w:rPr>
            </w:pPr>
            <w:r>
              <w:rPr>
                <w:rFonts w:hint="eastAsia" w:ascii="宋体" w:hAnsi="宋体" w:eastAsia="宋体" w:cs="宋体"/>
                <w:i w:val="0"/>
                <w:iCs w:val="0"/>
                <w:color w:val="auto"/>
                <w:kern w:val="0"/>
                <w:sz w:val="24"/>
                <w:szCs w:val="24"/>
                <w:u w:val="none"/>
                <w:lang w:val="en-US" w:eastAsia="zh-CN" w:bidi="ar"/>
              </w:rPr>
              <w:t>每次扣5分</w:t>
            </w:r>
          </w:p>
        </w:tc>
      </w:tr>
      <w:tr w14:paraId="16958B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177" w:type="dxa"/>
            <w:vMerge w:val="continue"/>
            <w:noWrap w:val="0"/>
            <w:vAlign w:val="top"/>
          </w:tcPr>
          <w:p w14:paraId="1BACD8AA">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p>
        </w:tc>
        <w:tc>
          <w:tcPr>
            <w:tcW w:w="826" w:type="dxa"/>
            <w:noWrap w:val="0"/>
            <w:vAlign w:val="center"/>
          </w:tcPr>
          <w:p w14:paraId="4C17F45D">
            <w:pPr>
              <w:keepNext w:val="0"/>
              <w:keepLines w:val="0"/>
              <w:pageBreakBefore w:val="0"/>
              <w:kinsoku/>
              <w:wordWrap/>
              <w:overflowPunct/>
              <w:topLinePunct w:val="0"/>
              <w:autoSpaceDE/>
              <w:autoSpaceDN/>
              <w:bidi w:val="0"/>
              <w:snapToGrid w:val="0"/>
              <w:spacing w:line="240" w:lineRule="auto"/>
              <w:ind w:firstLine="0" w:firstLineChars="0"/>
              <w:jc w:val="center"/>
              <w:textAlignment w:val="auto"/>
              <w:rPr>
                <w:rFonts w:hint="eastAsia" w:ascii="宋体" w:hAnsi="宋体" w:eastAsia="宋体" w:cs="宋体"/>
                <w:color w:val="auto"/>
                <w:sz w:val="24"/>
              </w:rPr>
            </w:pPr>
            <w:r>
              <w:rPr>
                <w:rFonts w:hint="eastAsia" w:ascii="宋体" w:hAnsi="宋体" w:eastAsia="宋体" w:cs="宋体"/>
                <w:color w:val="auto"/>
                <w:sz w:val="24"/>
              </w:rPr>
              <w:t>28</w:t>
            </w:r>
          </w:p>
        </w:tc>
        <w:tc>
          <w:tcPr>
            <w:tcW w:w="5937" w:type="dxa"/>
            <w:noWrap w:val="0"/>
            <w:vAlign w:val="center"/>
          </w:tcPr>
          <w:p w14:paraId="3B5C3AE9">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r>
              <w:rPr>
                <w:rFonts w:hint="eastAsia" w:ascii="宋体" w:hAnsi="宋体" w:eastAsia="宋体" w:cs="宋体"/>
                <w:color w:val="auto"/>
                <w:sz w:val="24"/>
              </w:rPr>
              <w:t>配送的价格高于市场价格</w:t>
            </w:r>
          </w:p>
        </w:tc>
        <w:tc>
          <w:tcPr>
            <w:tcW w:w="1793" w:type="dxa"/>
            <w:noWrap w:val="0"/>
            <w:vAlign w:val="center"/>
          </w:tcPr>
          <w:p w14:paraId="18553639">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eastAsia" w:ascii="宋体" w:hAnsi="宋体" w:eastAsia="宋体" w:cs="宋体"/>
                <w:color w:val="auto"/>
                <w:kern w:val="0"/>
                <w:sz w:val="24"/>
                <w:u w:val="none"/>
                <w:lang w:bidi="ar"/>
              </w:rPr>
            </w:pPr>
            <w:r>
              <w:rPr>
                <w:rFonts w:hint="eastAsia" w:ascii="宋体" w:hAnsi="宋体" w:eastAsia="宋体" w:cs="宋体"/>
                <w:i w:val="0"/>
                <w:iCs w:val="0"/>
                <w:color w:val="auto"/>
                <w:kern w:val="0"/>
                <w:sz w:val="24"/>
                <w:szCs w:val="24"/>
                <w:u w:val="none"/>
                <w:lang w:val="en-US" w:eastAsia="zh-CN" w:bidi="ar"/>
              </w:rPr>
              <w:t>每次扣5分</w:t>
            </w:r>
          </w:p>
        </w:tc>
      </w:tr>
      <w:tr w14:paraId="400E9E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177" w:type="dxa"/>
            <w:vMerge w:val="continue"/>
            <w:noWrap w:val="0"/>
            <w:vAlign w:val="top"/>
          </w:tcPr>
          <w:p w14:paraId="74620F55">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p>
        </w:tc>
        <w:tc>
          <w:tcPr>
            <w:tcW w:w="826" w:type="dxa"/>
            <w:noWrap w:val="0"/>
            <w:vAlign w:val="center"/>
          </w:tcPr>
          <w:p w14:paraId="0F63652F">
            <w:pPr>
              <w:keepNext w:val="0"/>
              <w:keepLines w:val="0"/>
              <w:pageBreakBefore w:val="0"/>
              <w:kinsoku/>
              <w:wordWrap/>
              <w:overflowPunct/>
              <w:topLinePunct w:val="0"/>
              <w:autoSpaceDE/>
              <w:autoSpaceDN/>
              <w:bidi w:val="0"/>
              <w:snapToGrid w:val="0"/>
              <w:spacing w:line="240" w:lineRule="auto"/>
              <w:ind w:firstLine="0" w:firstLineChars="0"/>
              <w:jc w:val="center"/>
              <w:textAlignment w:val="auto"/>
              <w:rPr>
                <w:rFonts w:hint="eastAsia" w:ascii="宋体" w:hAnsi="宋体" w:eastAsia="宋体" w:cs="宋体"/>
                <w:color w:val="auto"/>
                <w:sz w:val="24"/>
              </w:rPr>
            </w:pPr>
            <w:r>
              <w:rPr>
                <w:rFonts w:hint="eastAsia" w:ascii="宋体" w:hAnsi="宋体" w:eastAsia="宋体" w:cs="宋体"/>
                <w:color w:val="auto"/>
                <w:sz w:val="24"/>
              </w:rPr>
              <w:t>29</w:t>
            </w:r>
          </w:p>
        </w:tc>
        <w:tc>
          <w:tcPr>
            <w:tcW w:w="5937" w:type="dxa"/>
            <w:noWrap w:val="0"/>
            <w:vAlign w:val="center"/>
          </w:tcPr>
          <w:p w14:paraId="01B2D1E3">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r>
              <w:rPr>
                <w:rFonts w:hint="eastAsia" w:ascii="宋体" w:hAnsi="宋体" w:eastAsia="宋体" w:cs="宋体"/>
                <w:color w:val="auto"/>
                <w:sz w:val="24"/>
              </w:rPr>
              <w:t>冷冻制品外置时间长出现化冰严重的（未变质）</w:t>
            </w:r>
          </w:p>
        </w:tc>
        <w:tc>
          <w:tcPr>
            <w:tcW w:w="1793" w:type="dxa"/>
            <w:noWrap w:val="0"/>
            <w:vAlign w:val="center"/>
          </w:tcPr>
          <w:p w14:paraId="02D6FE60">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eastAsia" w:ascii="宋体" w:hAnsi="宋体" w:eastAsia="宋体" w:cs="宋体"/>
                <w:color w:val="auto"/>
                <w:kern w:val="0"/>
                <w:sz w:val="24"/>
                <w:u w:val="none"/>
                <w:lang w:bidi="ar"/>
              </w:rPr>
            </w:pPr>
            <w:r>
              <w:rPr>
                <w:rFonts w:hint="eastAsia" w:ascii="宋体" w:hAnsi="宋体" w:eastAsia="宋体" w:cs="宋体"/>
                <w:i w:val="0"/>
                <w:iCs w:val="0"/>
                <w:color w:val="auto"/>
                <w:kern w:val="0"/>
                <w:sz w:val="24"/>
                <w:szCs w:val="24"/>
                <w:u w:val="none"/>
                <w:lang w:val="en-US" w:eastAsia="zh-CN" w:bidi="ar"/>
              </w:rPr>
              <w:t>每次扣1分</w:t>
            </w:r>
          </w:p>
        </w:tc>
      </w:tr>
      <w:tr w14:paraId="183EB0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177" w:type="dxa"/>
            <w:vMerge w:val="continue"/>
            <w:noWrap w:val="0"/>
            <w:vAlign w:val="top"/>
          </w:tcPr>
          <w:p w14:paraId="5D788807">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p>
        </w:tc>
        <w:tc>
          <w:tcPr>
            <w:tcW w:w="826" w:type="dxa"/>
            <w:noWrap w:val="0"/>
            <w:vAlign w:val="center"/>
          </w:tcPr>
          <w:p w14:paraId="36BFA3D8">
            <w:pPr>
              <w:keepNext w:val="0"/>
              <w:keepLines w:val="0"/>
              <w:pageBreakBefore w:val="0"/>
              <w:kinsoku/>
              <w:wordWrap/>
              <w:overflowPunct/>
              <w:topLinePunct w:val="0"/>
              <w:autoSpaceDE/>
              <w:autoSpaceDN/>
              <w:bidi w:val="0"/>
              <w:snapToGrid w:val="0"/>
              <w:spacing w:line="240" w:lineRule="auto"/>
              <w:ind w:firstLine="0" w:firstLineChars="0"/>
              <w:jc w:val="center"/>
              <w:textAlignment w:val="auto"/>
              <w:rPr>
                <w:rFonts w:hint="eastAsia" w:ascii="宋体" w:hAnsi="宋体" w:eastAsia="宋体" w:cs="宋体"/>
                <w:color w:val="auto"/>
                <w:sz w:val="24"/>
              </w:rPr>
            </w:pPr>
            <w:r>
              <w:rPr>
                <w:rFonts w:hint="eastAsia" w:ascii="宋体" w:hAnsi="宋体" w:eastAsia="宋体" w:cs="宋体"/>
                <w:color w:val="auto"/>
                <w:sz w:val="24"/>
              </w:rPr>
              <w:t>30</w:t>
            </w:r>
          </w:p>
        </w:tc>
        <w:tc>
          <w:tcPr>
            <w:tcW w:w="5937" w:type="dxa"/>
            <w:noWrap w:val="0"/>
            <w:vAlign w:val="center"/>
          </w:tcPr>
          <w:p w14:paraId="3203DE2A">
            <w:pPr>
              <w:keepNext w:val="0"/>
              <w:keepLines w:val="0"/>
              <w:pageBreakBefore w:val="0"/>
              <w:kinsoku/>
              <w:wordWrap/>
              <w:overflowPunct/>
              <w:topLinePunct w:val="0"/>
              <w:autoSpaceDE/>
              <w:autoSpaceDN/>
              <w:bidi w:val="0"/>
              <w:snapToGrid w:val="0"/>
              <w:spacing w:line="240" w:lineRule="auto"/>
              <w:ind w:firstLine="240" w:firstLineChars="100"/>
              <w:textAlignment w:val="auto"/>
              <w:rPr>
                <w:rFonts w:hint="eastAsia" w:ascii="宋体" w:hAnsi="宋体" w:eastAsia="宋体" w:cs="宋体"/>
                <w:color w:val="auto"/>
                <w:sz w:val="24"/>
              </w:rPr>
            </w:pPr>
            <w:r>
              <w:rPr>
                <w:rFonts w:hint="eastAsia" w:ascii="宋体" w:hAnsi="宋体" w:eastAsia="宋体" w:cs="宋体"/>
                <w:color w:val="auto"/>
                <w:sz w:val="24"/>
              </w:rPr>
              <w:t>冷冻制品外置时间长出现化冰变质的</w:t>
            </w:r>
          </w:p>
        </w:tc>
        <w:tc>
          <w:tcPr>
            <w:tcW w:w="1793" w:type="dxa"/>
            <w:noWrap w:val="0"/>
            <w:vAlign w:val="center"/>
          </w:tcPr>
          <w:p w14:paraId="36DEC3AA">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eastAsia" w:ascii="宋体" w:hAnsi="宋体" w:eastAsia="宋体" w:cs="宋体"/>
                <w:color w:val="auto"/>
                <w:kern w:val="0"/>
                <w:sz w:val="24"/>
                <w:u w:val="none"/>
                <w:lang w:bidi="ar"/>
              </w:rPr>
            </w:pPr>
            <w:r>
              <w:rPr>
                <w:rFonts w:hint="eastAsia" w:ascii="宋体" w:hAnsi="宋体" w:eastAsia="宋体" w:cs="宋体"/>
                <w:i w:val="0"/>
                <w:iCs w:val="0"/>
                <w:color w:val="auto"/>
                <w:kern w:val="0"/>
                <w:sz w:val="24"/>
                <w:szCs w:val="24"/>
                <w:u w:val="none"/>
                <w:lang w:val="en-US" w:eastAsia="zh-CN" w:bidi="ar"/>
              </w:rPr>
              <w:t>每次扣5分</w:t>
            </w:r>
          </w:p>
        </w:tc>
      </w:tr>
      <w:tr w14:paraId="605EAB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177" w:type="dxa"/>
            <w:noWrap w:val="0"/>
            <w:vAlign w:val="center"/>
          </w:tcPr>
          <w:p w14:paraId="02821395">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color w:val="auto"/>
                <w:sz w:val="24"/>
              </w:rPr>
            </w:pPr>
            <w:r>
              <w:rPr>
                <w:rFonts w:hint="eastAsia" w:ascii="宋体" w:hAnsi="宋体" w:eastAsia="宋体" w:cs="宋体"/>
                <w:color w:val="auto"/>
                <w:sz w:val="24"/>
              </w:rPr>
              <w:t>服务类</w:t>
            </w:r>
          </w:p>
          <w:p w14:paraId="28E71BB9">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color w:val="auto"/>
                <w:sz w:val="24"/>
              </w:rPr>
            </w:pPr>
            <w:r>
              <w:rPr>
                <w:rFonts w:hint="eastAsia" w:ascii="宋体" w:hAnsi="宋体" w:eastAsia="宋体" w:cs="宋体"/>
                <w:color w:val="auto"/>
                <w:sz w:val="24"/>
              </w:rPr>
              <w:t>(10 分)</w:t>
            </w:r>
          </w:p>
        </w:tc>
        <w:tc>
          <w:tcPr>
            <w:tcW w:w="826" w:type="dxa"/>
            <w:noWrap w:val="0"/>
            <w:vAlign w:val="center"/>
          </w:tcPr>
          <w:p w14:paraId="0A725687">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ascii="宋体" w:hAnsi="宋体" w:eastAsia="宋体" w:cs="宋体"/>
                <w:color w:val="auto"/>
                <w:sz w:val="24"/>
              </w:rPr>
            </w:pPr>
            <w:r>
              <w:rPr>
                <w:rFonts w:hint="eastAsia" w:ascii="宋体" w:hAnsi="宋体" w:eastAsia="宋体" w:cs="宋体"/>
                <w:color w:val="auto"/>
                <w:sz w:val="24"/>
              </w:rPr>
              <w:t>31</w:t>
            </w:r>
          </w:p>
        </w:tc>
        <w:tc>
          <w:tcPr>
            <w:tcW w:w="7730" w:type="dxa"/>
            <w:gridSpan w:val="2"/>
            <w:noWrap w:val="0"/>
            <w:vAlign w:val="center"/>
          </w:tcPr>
          <w:p w14:paraId="42E7F491">
            <w:pPr>
              <w:keepNext w:val="0"/>
              <w:keepLines w:val="0"/>
              <w:pageBreakBefore w:val="0"/>
              <w:widowControl/>
              <w:kinsoku/>
              <w:wordWrap/>
              <w:overflowPunct/>
              <w:topLinePunct w:val="0"/>
              <w:autoSpaceDE/>
              <w:autoSpaceDN/>
              <w:bidi w:val="0"/>
              <w:adjustRightInd/>
              <w:snapToGrid w:val="0"/>
              <w:spacing w:line="240" w:lineRule="auto"/>
              <w:ind w:firstLine="240" w:firstLineChars="100"/>
              <w:textAlignment w:val="auto"/>
              <w:rPr>
                <w:rFonts w:hint="eastAsia" w:ascii="宋体" w:hAnsi="宋体" w:eastAsia="宋体" w:cs="宋体"/>
                <w:color w:val="auto"/>
                <w:sz w:val="24"/>
              </w:rPr>
            </w:pPr>
            <w:r>
              <w:rPr>
                <w:rFonts w:hint="eastAsia" w:ascii="宋体" w:hAnsi="宋体" w:eastAsia="宋体" w:cs="宋体"/>
                <w:color w:val="auto"/>
                <w:sz w:val="24"/>
              </w:rPr>
              <w:t>配送服务满意度考核（</w:t>
            </w:r>
            <w:r>
              <w:rPr>
                <w:rFonts w:hint="eastAsia" w:ascii="宋体" w:hAnsi="宋体" w:cs="宋体"/>
                <w:color w:val="auto"/>
                <w:sz w:val="24"/>
                <w:lang w:eastAsia="zh-CN"/>
              </w:rPr>
              <w:t>考核</w:t>
            </w:r>
            <w:r>
              <w:rPr>
                <w:rFonts w:hint="eastAsia" w:ascii="宋体" w:hAnsi="宋体" w:eastAsia="宋体" w:cs="宋体"/>
                <w:color w:val="auto"/>
                <w:sz w:val="24"/>
              </w:rPr>
              <w:t>说明： “优+”</w:t>
            </w:r>
            <w:r>
              <w:rPr>
                <w:rFonts w:hint="eastAsia" w:ascii="宋体" w:hAnsi="宋体" w:cs="宋体"/>
                <w:color w:val="auto"/>
                <w:sz w:val="24"/>
                <w:lang w:eastAsia="zh-CN"/>
              </w:rPr>
              <w:t>的不扣分</w:t>
            </w:r>
            <w:r>
              <w:rPr>
                <w:rFonts w:hint="eastAsia" w:ascii="宋体" w:hAnsi="宋体" w:eastAsia="宋体" w:cs="宋体"/>
                <w:color w:val="auto"/>
                <w:sz w:val="24"/>
              </w:rPr>
              <w:t>，“优”</w:t>
            </w:r>
            <w:r>
              <w:rPr>
                <w:rFonts w:hint="eastAsia" w:ascii="宋体" w:hAnsi="宋体" w:cs="宋体"/>
                <w:color w:val="auto"/>
                <w:sz w:val="24"/>
                <w:lang w:eastAsia="zh-CN"/>
              </w:rPr>
              <w:t>的扣</w:t>
            </w:r>
            <w:r>
              <w:rPr>
                <w:rFonts w:hint="eastAsia" w:ascii="宋体" w:hAnsi="宋体" w:cs="宋体"/>
                <w:color w:val="auto"/>
                <w:sz w:val="24"/>
                <w:lang w:val="en-US" w:eastAsia="zh-CN"/>
              </w:rPr>
              <w:t>1</w:t>
            </w:r>
            <w:r>
              <w:rPr>
                <w:rFonts w:hint="eastAsia" w:ascii="宋体" w:hAnsi="宋体" w:eastAsia="宋体" w:cs="宋体"/>
                <w:color w:val="auto"/>
                <w:sz w:val="24"/>
              </w:rPr>
              <w:t>-</w:t>
            </w:r>
            <w:r>
              <w:rPr>
                <w:rFonts w:hint="eastAsia" w:ascii="宋体" w:hAnsi="宋体" w:cs="宋体"/>
                <w:color w:val="auto"/>
                <w:sz w:val="24"/>
                <w:lang w:val="en-US" w:eastAsia="zh-CN"/>
              </w:rPr>
              <w:t>3</w:t>
            </w:r>
            <w:r>
              <w:rPr>
                <w:rFonts w:hint="eastAsia" w:ascii="宋体" w:hAnsi="宋体" w:eastAsia="宋体" w:cs="宋体"/>
                <w:color w:val="auto"/>
                <w:sz w:val="24"/>
              </w:rPr>
              <w:t>分，</w:t>
            </w:r>
            <w:r>
              <w:rPr>
                <w:rFonts w:hint="eastAsia" w:ascii="宋体" w:hAnsi="宋体" w:eastAsia="宋体" w:cs="宋体"/>
                <w:color w:val="auto"/>
                <w:sz w:val="24"/>
                <w:lang w:eastAsia="zh-CN"/>
              </w:rPr>
              <w:t>“</w:t>
            </w:r>
            <w:r>
              <w:rPr>
                <w:rFonts w:hint="eastAsia" w:ascii="宋体" w:hAnsi="宋体" w:eastAsia="宋体" w:cs="宋体"/>
                <w:color w:val="auto"/>
                <w:sz w:val="24"/>
              </w:rPr>
              <w:t>良</w:t>
            </w:r>
            <w:r>
              <w:rPr>
                <w:rFonts w:hint="eastAsia" w:ascii="宋体" w:hAnsi="宋体" w:eastAsia="宋体" w:cs="宋体"/>
                <w:color w:val="auto"/>
                <w:sz w:val="24"/>
                <w:lang w:eastAsia="zh-CN"/>
              </w:rPr>
              <w:t>”</w:t>
            </w:r>
            <w:r>
              <w:rPr>
                <w:rFonts w:hint="eastAsia" w:ascii="宋体" w:hAnsi="宋体" w:cs="宋体"/>
                <w:color w:val="auto"/>
                <w:sz w:val="24"/>
                <w:lang w:eastAsia="zh-CN"/>
              </w:rPr>
              <w:t>的扣</w:t>
            </w:r>
            <w:r>
              <w:rPr>
                <w:rFonts w:hint="eastAsia" w:ascii="宋体" w:hAnsi="宋体" w:eastAsia="宋体" w:cs="宋体"/>
                <w:color w:val="auto"/>
                <w:sz w:val="24"/>
              </w:rPr>
              <w:t xml:space="preserve"> </w:t>
            </w:r>
            <w:r>
              <w:rPr>
                <w:rFonts w:hint="eastAsia" w:ascii="宋体" w:hAnsi="宋体" w:cs="宋体"/>
                <w:color w:val="auto"/>
                <w:sz w:val="24"/>
                <w:lang w:val="en-US" w:eastAsia="zh-CN"/>
              </w:rPr>
              <w:t>4</w:t>
            </w:r>
            <w:r>
              <w:rPr>
                <w:rFonts w:hint="eastAsia" w:ascii="宋体" w:hAnsi="宋体" w:eastAsia="宋体" w:cs="宋体"/>
                <w:color w:val="auto"/>
                <w:sz w:val="24"/>
              </w:rPr>
              <w:t>-6 分，“一般”</w:t>
            </w:r>
            <w:r>
              <w:rPr>
                <w:rFonts w:hint="eastAsia" w:ascii="宋体" w:hAnsi="宋体" w:cs="宋体"/>
                <w:color w:val="auto"/>
                <w:sz w:val="24"/>
                <w:lang w:eastAsia="zh-CN"/>
              </w:rPr>
              <w:t>的扣</w:t>
            </w:r>
            <w:r>
              <w:rPr>
                <w:rFonts w:hint="eastAsia" w:ascii="宋体" w:hAnsi="宋体" w:eastAsia="宋体" w:cs="宋体"/>
                <w:color w:val="auto"/>
                <w:sz w:val="24"/>
              </w:rPr>
              <w:t xml:space="preserve"> </w:t>
            </w:r>
            <w:r>
              <w:rPr>
                <w:rFonts w:hint="eastAsia" w:ascii="宋体" w:hAnsi="宋体" w:cs="宋体"/>
                <w:color w:val="auto"/>
                <w:sz w:val="24"/>
                <w:lang w:val="en-US" w:eastAsia="zh-CN"/>
              </w:rPr>
              <w:t>7</w:t>
            </w:r>
            <w:r>
              <w:rPr>
                <w:rFonts w:hint="eastAsia" w:ascii="宋体" w:hAnsi="宋体" w:eastAsia="宋体" w:cs="宋体"/>
                <w:color w:val="auto"/>
                <w:sz w:val="24"/>
              </w:rPr>
              <w:t>-</w:t>
            </w:r>
            <w:r>
              <w:rPr>
                <w:rFonts w:hint="eastAsia" w:ascii="宋体" w:hAnsi="宋体" w:cs="宋体"/>
                <w:color w:val="auto"/>
                <w:sz w:val="24"/>
                <w:lang w:val="en-US" w:eastAsia="zh-CN"/>
              </w:rPr>
              <w:t>9</w:t>
            </w:r>
            <w:r>
              <w:rPr>
                <w:rFonts w:hint="eastAsia" w:ascii="宋体" w:hAnsi="宋体" w:eastAsia="宋体" w:cs="宋体"/>
                <w:color w:val="auto"/>
                <w:sz w:val="24"/>
              </w:rPr>
              <w:t>分</w:t>
            </w:r>
            <w:r>
              <w:rPr>
                <w:rFonts w:hint="eastAsia" w:ascii="宋体" w:hAnsi="宋体" w:eastAsia="宋体" w:cs="宋体"/>
                <w:color w:val="auto"/>
                <w:sz w:val="24"/>
                <w:lang w:eastAsia="zh-CN"/>
              </w:rPr>
              <w:t>，</w:t>
            </w:r>
            <w:r>
              <w:rPr>
                <w:rFonts w:hint="eastAsia" w:ascii="宋体" w:hAnsi="宋体" w:eastAsia="宋体" w:cs="宋体"/>
                <w:color w:val="auto"/>
                <w:sz w:val="24"/>
              </w:rPr>
              <w:t xml:space="preserve"> “差”</w:t>
            </w:r>
            <w:r>
              <w:rPr>
                <w:rFonts w:hint="eastAsia" w:ascii="宋体" w:hAnsi="宋体" w:cs="宋体"/>
                <w:color w:val="auto"/>
                <w:sz w:val="24"/>
                <w:lang w:eastAsia="zh-CN"/>
              </w:rPr>
              <w:t>的扣</w:t>
            </w:r>
            <w:r>
              <w:rPr>
                <w:rFonts w:hint="eastAsia" w:ascii="宋体" w:hAnsi="宋体" w:cs="宋体"/>
                <w:color w:val="auto"/>
                <w:sz w:val="24"/>
                <w:lang w:val="en-US" w:eastAsia="zh-CN"/>
              </w:rPr>
              <w:t>10</w:t>
            </w:r>
            <w:r>
              <w:rPr>
                <w:rFonts w:hint="eastAsia" w:ascii="宋体" w:hAnsi="宋体" w:eastAsia="宋体" w:cs="宋体"/>
                <w:color w:val="auto"/>
                <w:sz w:val="24"/>
              </w:rPr>
              <w:t>分）</w:t>
            </w:r>
          </w:p>
        </w:tc>
      </w:tr>
      <w:tr w14:paraId="2691FC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9733" w:type="dxa"/>
            <w:gridSpan w:val="4"/>
            <w:noWrap w:val="0"/>
            <w:vAlign w:val="top"/>
          </w:tcPr>
          <w:p w14:paraId="7A1EF2E2">
            <w:pPr>
              <w:pStyle w:val="2"/>
              <w:numPr>
                <w:ilvl w:val="-1"/>
                <w:numId w:val="0"/>
              </w:numPr>
              <w:spacing w:line="360" w:lineRule="auto"/>
              <w:rPr>
                <w:rFonts w:hint="eastAsia" w:ascii="宋体" w:hAnsi="宋体" w:cs="宋体"/>
                <w:color w:val="auto"/>
                <w:sz w:val="24"/>
                <w:lang w:eastAsia="zh-CN"/>
              </w:rPr>
            </w:pPr>
            <w:r>
              <w:rPr>
                <w:rFonts w:hint="eastAsia" w:ascii="宋体" w:hAnsi="宋体" w:eastAsia="宋体" w:cs="宋体"/>
                <w:color w:val="auto"/>
                <w:sz w:val="24"/>
              </w:rPr>
              <w:t>说明：</w:t>
            </w:r>
            <w:r>
              <w:rPr>
                <w:rFonts w:hint="eastAsia" w:ascii="宋体" w:hAnsi="宋体" w:eastAsia="宋体" w:cs="宋体"/>
                <w:color w:val="auto"/>
                <w:sz w:val="24"/>
                <w:lang w:val="en-US" w:eastAsia="zh-CN"/>
              </w:rPr>
              <w:t>1、</w:t>
            </w:r>
            <w:r>
              <w:rPr>
                <w:rFonts w:hint="eastAsia" w:ascii="宋体" w:hAnsi="宋体" w:eastAsia="宋体" w:cs="宋体"/>
                <w:color w:val="auto"/>
                <w:sz w:val="24"/>
              </w:rPr>
              <w:t>本项目的考核总分为：100 分（其中：质量类90分，服务类10分），</w:t>
            </w:r>
            <w:r>
              <w:rPr>
                <w:rFonts w:hint="eastAsia" w:ascii="宋体" w:hAnsi="宋体" w:eastAsia="宋体" w:cs="宋体"/>
                <w:color w:val="auto"/>
                <w:sz w:val="24"/>
                <w:lang w:val="en-US" w:eastAsia="zh-CN"/>
              </w:rPr>
              <w:t>成交</w:t>
            </w:r>
            <w:r>
              <w:rPr>
                <w:rFonts w:hint="eastAsia" w:ascii="宋体" w:hAnsi="宋体" w:cs="宋体"/>
                <w:color w:val="auto"/>
                <w:sz w:val="24"/>
                <w:lang w:eastAsia="zh-CN"/>
              </w:rPr>
              <w:t>比选申请人</w:t>
            </w:r>
            <w:r>
              <w:rPr>
                <w:rFonts w:hint="eastAsia" w:ascii="宋体" w:hAnsi="宋体" w:eastAsia="宋体" w:cs="宋体"/>
                <w:color w:val="auto"/>
                <w:sz w:val="24"/>
              </w:rPr>
              <w:t>在配送过程存1-3</w:t>
            </w:r>
            <w:r>
              <w:rPr>
                <w:rFonts w:hint="eastAsia" w:ascii="宋体" w:hAnsi="宋体" w:eastAsia="宋体" w:cs="宋体"/>
                <w:color w:val="auto"/>
                <w:sz w:val="24"/>
                <w:lang w:val="en-US" w:eastAsia="zh-CN"/>
              </w:rPr>
              <w:t>0</w:t>
            </w:r>
            <w:r>
              <w:rPr>
                <w:rFonts w:hint="eastAsia" w:ascii="宋体" w:hAnsi="宋体" w:eastAsia="宋体" w:cs="宋体"/>
                <w:color w:val="auto"/>
                <w:sz w:val="24"/>
              </w:rPr>
              <w:t>项中描述的情况</w:t>
            </w:r>
            <w:r>
              <w:rPr>
                <w:rFonts w:hint="eastAsia" w:ascii="宋体" w:hAnsi="宋体" w:eastAsia="宋体" w:cs="宋体"/>
                <w:color w:val="auto"/>
                <w:sz w:val="24"/>
                <w:lang w:eastAsia="zh-CN"/>
              </w:rPr>
              <w:t>，</w:t>
            </w:r>
            <w:r>
              <w:rPr>
                <w:rFonts w:hint="eastAsia" w:ascii="宋体" w:hAnsi="宋体" w:cs="宋体"/>
                <w:color w:val="auto"/>
                <w:sz w:val="24"/>
                <w:lang w:eastAsia="zh-CN"/>
              </w:rPr>
              <w:t>比选人</w:t>
            </w:r>
            <w:r>
              <w:rPr>
                <w:rFonts w:hint="eastAsia" w:ascii="宋体" w:hAnsi="宋体" w:eastAsia="宋体" w:cs="宋体"/>
                <w:color w:val="auto"/>
                <w:sz w:val="24"/>
              </w:rPr>
              <w:t>或使用单位将按照标准进行评议</w:t>
            </w:r>
            <w:r>
              <w:rPr>
                <w:rFonts w:hint="eastAsia" w:ascii="宋体" w:hAnsi="宋体" w:cs="宋体"/>
                <w:color w:val="auto"/>
                <w:sz w:val="24"/>
                <w:lang w:eastAsia="zh-CN"/>
              </w:rPr>
              <w:t>。</w:t>
            </w:r>
          </w:p>
          <w:p w14:paraId="5A5A42DA">
            <w:pPr>
              <w:pStyle w:val="2"/>
              <w:numPr>
                <w:ilvl w:val="0"/>
                <w:numId w:val="0"/>
              </w:numPr>
              <w:spacing w:line="360" w:lineRule="auto"/>
              <w:rPr>
                <w:rFonts w:hint="eastAsia" w:ascii="宋体" w:hAnsi="宋体" w:eastAsia="宋体" w:cs="宋体"/>
                <w:color w:val="auto"/>
                <w:sz w:val="24"/>
                <w:lang w:eastAsia="zh-CN"/>
              </w:rPr>
            </w:pPr>
            <w:r>
              <w:rPr>
                <w:rFonts w:hint="eastAsia" w:ascii="宋体" w:hAnsi="宋体" w:cs="宋体"/>
                <w:color w:val="auto"/>
                <w:sz w:val="24"/>
                <w:lang w:val="en-US" w:eastAsia="zh-CN"/>
              </w:rPr>
              <w:t>2、</w:t>
            </w:r>
            <w:r>
              <w:rPr>
                <w:rFonts w:hint="eastAsia" w:ascii="宋体" w:hAnsi="宋体" w:eastAsia="宋体" w:cs="宋体"/>
                <w:color w:val="auto"/>
                <w:sz w:val="24"/>
              </w:rPr>
              <w:t>考核结果主要用于</w:t>
            </w:r>
            <w:r>
              <w:rPr>
                <w:rFonts w:hint="eastAsia" w:ascii="宋体" w:hAnsi="宋体" w:cs="宋体"/>
                <w:color w:val="auto"/>
                <w:sz w:val="24"/>
                <w:lang w:eastAsia="zh-CN"/>
              </w:rPr>
              <w:t>比选人</w:t>
            </w:r>
            <w:r>
              <w:rPr>
                <w:rFonts w:hint="eastAsia" w:ascii="宋体" w:hAnsi="宋体" w:eastAsia="宋体" w:cs="宋体"/>
                <w:color w:val="auto"/>
                <w:sz w:val="24"/>
              </w:rPr>
              <w:t>或使用单位</w:t>
            </w:r>
            <w:r>
              <w:rPr>
                <w:rFonts w:hint="eastAsia" w:ascii="宋体" w:hAnsi="宋体" w:eastAsia="宋体" w:cs="宋体"/>
                <w:color w:val="auto"/>
                <w:sz w:val="24"/>
                <w:lang w:eastAsia="zh-CN"/>
              </w:rPr>
              <w:t>。</w:t>
            </w:r>
          </w:p>
          <w:p w14:paraId="3B7C03F2">
            <w:pPr>
              <w:pStyle w:val="2"/>
              <w:keepNext w:val="0"/>
              <w:keepLines w:val="0"/>
              <w:pageBreakBefore w:val="0"/>
              <w:widowControl/>
              <w:numPr>
                <w:ilvl w:val="-1"/>
                <w:numId w:val="0"/>
              </w:numPr>
              <w:kinsoku/>
              <w:wordWrap/>
              <w:overflowPunct/>
              <w:topLinePunct w:val="0"/>
              <w:autoSpaceDE/>
              <w:autoSpaceDN/>
              <w:bidi w:val="0"/>
              <w:adjustRightInd/>
              <w:spacing w:after="0" w:line="360" w:lineRule="auto"/>
              <w:ind w:firstLine="0" w:firstLineChars="0"/>
              <w:textAlignment w:val="auto"/>
              <w:rPr>
                <w:rFonts w:hint="eastAsia" w:ascii="宋体" w:hAnsi="宋体" w:eastAsia="宋体" w:cs="宋体"/>
                <w:color w:val="auto"/>
                <w:sz w:val="24"/>
                <w:lang w:eastAsia="zh-CN"/>
              </w:rPr>
            </w:pPr>
            <w:r>
              <w:rPr>
                <w:rFonts w:hint="eastAsia" w:ascii="宋体" w:hAnsi="宋体" w:eastAsia="宋体" w:cs="宋体"/>
                <w:color w:val="auto"/>
                <w:sz w:val="24"/>
                <w:lang w:val="en-US" w:eastAsia="zh-CN"/>
              </w:rPr>
              <w:t>3、</w:t>
            </w:r>
            <w:r>
              <w:rPr>
                <w:rFonts w:hint="eastAsia" w:ascii="宋体" w:hAnsi="宋体" w:eastAsia="宋体" w:cs="宋体"/>
                <w:color w:val="auto"/>
                <w:sz w:val="24"/>
              </w:rPr>
              <w:t>考核方式及具体扣分细则可在合同</w:t>
            </w:r>
            <w:r>
              <w:rPr>
                <w:rFonts w:hint="eastAsia" w:ascii="宋体" w:hAnsi="宋体" w:eastAsia="宋体" w:cs="宋体"/>
                <w:color w:val="auto"/>
                <w:sz w:val="24"/>
                <w:lang w:val="en-US" w:eastAsia="zh-CN"/>
              </w:rPr>
              <w:t>中</w:t>
            </w:r>
            <w:r>
              <w:rPr>
                <w:rFonts w:hint="eastAsia" w:ascii="宋体" w:hAnsi="宋体" w:eastAsia="宋体" w:cs="宋体"/>
                <w:color w:val="auto"/>
                <w:sz w:val="24"/>
              </w:rPr>
              <w:t>由</w:t>
            </w:r>
            <w:r>
              <w:rPr>
                <w:rFonts w:hint="eastAsia" w:ascii="宋体" w:hAnsi="宋体" w:cs="宋体"/>
                <w:color w:val="auto"/>
                <w:sz w:val="24"/>
                <w:lang w:eastAsia="zh-CN"/>
              </w:rPr>
              <w:t>比选人</w:t>
            </w:r>
            <w:r>
              <w:rPr>
                <w:rFonts w:hint="eastAsia" w:ascii="宋体" w:hAnsi="宋体" w:eastAsia="宋体" w:cs="宋体"/>
                <w:color w:val="auto"/>
                <w:sz w:val="24"/>
              </w:rPr>
              <w:t>进行调整。</w:t>
            </w:r>
          </w:p>
          <w:p w14:paraId="208DA977">
            <w:pPr>
              <w:pStyle w:val="2"/>
              <w:spacing w:line="360" w:lineRule="auto"/>
              <w:rPr>
                <w:rFonts w:hint="eastAsia" w:ascii="宋体" w:hAnsi="宋体" w:eastAsia="宋体" w:cs="宋体"/>
                <w:color w:val="auto"/>
                <w:sz w:val="24"/>
              </w:rPr>
            </w:pPr>
            <w:r>
              <w:rPr>
                <w:rFonts w:hint="eastAsia" w:ascii="宋体" w:hAnsi="宋体" w:eastAsia="宋体" w:cs="宋体"/>
                <w:color w:val="auto"/>
                <w:sz w:val="24"/>
                <w:lang w:val="en-US" w:eastAsia="zh-CN"/>
              </w:rPr>
              <w:t>4</w:t>
            </w:r>
            <w:r>
              <w:rPr>
                <w:rFonts w:hint="eastAsia" w:ascii="宋体" w:hAnsi="宋体" w:eastAsia="宋体" w:cs="宋体"/>
                <w:color w:val="auto"/>
                <w:sz w:val="24"/>
                <w:lang w:eastAsia="zh-CN"/>
              </w:rPr>
              <w:t>、</w:t>
            </w:r>
            <w:r>
              <w:rPr>
                <w:rFonts w:hint="eastAsia" w:ascii="宋体" w:hAnsi="宋体" w:cs="宋体"/>
                <w:color w:val="auto"/>
                <w:kern w:val="2"/>
                <w:sz w:val="24"/>
                <w:szCs w:val="24"/>
                <w:lang w:val="en-US" w:eastAsia="zh-CN"/>
              </w:rPr>
              <w:t>比选人</w:t>
            </w:r>
            <w:r>
              <w:rPr>
                <w:rFonts w:hint="eastAsia" w:ascii="宋体" w:hAnsi="宋体" w:eastAsia="宋体" w:cs="宋体"/>
                <w:color w:val="auto"/>
                <w:kern w:val="2"/>
                <w:sz w:val="24"/>
                <w:szCs w:val="24"/>
                <w:lang w:val="en-US" w:eastAsia="zh-CN"/>
              </w:rPr>
              <w:t>按月对</w:t>
            </w:r>
            <w:r>
              <w:rPr>
                <w:rFonts w:hint="eastAsia" w:ascii="宋体" w:hAnsi="宋体" w:cs="宋体"/>
                <w:color w:val="auto"/>
                <w:kern w:val="2"/>
                <w:sz w:val="24"/>
                <w:szCs w:val="24"/>
                <w:lang w:val="en-US" w:eastAsia="zh-CN"/>
              </w:rPr>
              <w:t>比选申请人</w:t>
            </w:r>
            <w:r>
              <w:rPr>
                <w:rFonts w:hint="eastAsia" w:ascii="宋体" w:hAnsi="宋体" w:eastAsia="宋体" w:cs="宋体"/>
                <w:color w:val="auto"/>
                <w:kern w:val="2"/>
                <w:sz w:val="24"/>
                <w:szCs w:val="24"/>
                <w:lang w:val="en-US" w:eastAsia="zh-CN"/>
              </w:rPr>
              <w:t>进行考核</w:t>
            </w:r>
            <w:r>
              <w:rPr>
                <w:rFonts w:hint="eastAsia" w:ascii="宋体" w:hAnsi="宋体" w:cs="宋体"/>
                <w:color w:val="auto"/>
                <w:kern w:val="2"/>
                <w:sz w:val="24"/>
                <w:szCs w:val="24"/>
                <w:lang w:val="en-US" w:eastAsia="zh-CN"/>
              </w:rPr>
              <w:t>：</w:t>
            </w:r>
            <w:r>
              <w:rPr>
                <w:rFonts w:hint="eastAsia" w:ascii="宋体" w:hAnsi="宋体" w:eastAsia="宋体" w:cs="宋体"/>
                <w:color w:val="auto"/>
                <w:kern w:val="2"/>
                <w:sz w:val="24"/>
                <w:lang w:val="en-US" w:eastAsia="zh-CN" w:bidi="ar-SA"/>
              </w:rPr>
              <w:t>考核扣分实行累积制度，在当月考核总分中扣除。考核97-100分项目服务费用全额支付；考核94-96分扣服务费用的2%；考核90-93分扣服务费用的5%；考核85-89分扣服务费用的8%；考核80-84分的扣服务费用的10%；（服务期间积极配合甲方工作，无不良业主投诉记录、无辱骂、斗殴等严重影响形象行为，被举报到12345行政部门并经查属实一次性扣除10分。）</w:t>
            </w:r>
            <w:r>
              <w:rPr>
                <w:rFonts w:hint="eastAsia" w:ascii="宋体" w:hAnsi="宋体" w:eastAsia="宋体" w:cs="宋体"/>
                <w:color w:val="auto"/>
                <w:kern w:val="2"/>
                <w:sz w:val="24"/>
                <w:szCs w:val="24"/>
                <w:lang w:val="en-US" w:eastAsia="zh-CN"/>
              </w:rPr>
              <w:t>考核得分为80分（不含）以下，每少得1分，扣除当月服务费的5%，且</w:t>
            </w:r>
            <w:r>
              <w:rPr>
                <w:rFonts w:hint="eastAsia" w:ascii="宋体" w:hAnsi="宋体" w:cs="宋体"/>
                <w:color w:val="auto"/>
                <w:kern w:val="2"/>
                <w:sz w:val="24"/>
                <w:szCs w:val="24"/>
                <w:lang w:val="en-US" w:eastAsia="zh-CN"/>
              </w:rPr>
              <w:t>比选人</w:t>
            </w:r>
            <w:r>
              <w:rPr>
                <w:rFonts w:hint="eastAsia" w:ascii="宋体" w:hAnsi="宋体" w:eastAsia="宋体" w:cs="宋体"/>
                <w:color w:val="auto"/>
                <w:kern w:val="2"/>
                <w:sz w:val="24"/>
                <w:szCs w:val="24"/>
                <w:lang w:val="en-US" w:eastAsia="zh-CN"/>
              </w:rPr>
              <w:t>有权要求终止合同，并赔偿由此给</w:t>
            </w:r>
            <w:r>
              <w:rPr>
                <w:rFonts w:hint="eastAsia" w:ascii="宋体" w:hAnsi="宋体" w:cs="宋体"/>
                <w:color w:val="auto"/>
                <w:kern w:val="2"/>
                <w:sz w:val="24"/>
                <w:szCs w:val="24"/>
                <w:lang w:val="en-US" w:eastAsia="zh-CN"/>
              </w:rPr>
              <w:t>比选人</w:t>
            </w:r>
            <w:r>
              <w:rPr>
                <w:rFonts w:hint="eastAsia" w:ascii="宋体" w:hAnsi="宋体" w:eastAsia="宋体" w:cs="宋体"/>
                <w:color w:val="auto"/>
                <w:kern w:val="2"/>
                <w:sz w:val="24"/>
                <w:szCs w:val="24"/>
                <w:lang w:val="en-US" w:eastAsia="zh-CN"/>
              </w:rPr>
              <w:t>带来的一切经济损失。</w:t>
            </w:r>
          </w:p>
        </w:tc>
      </w:tr>
    </w:tbl>
    <w:p w14:paraId="1B42D005">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FE061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next w:val="1"/>
    <w:semiHidden/>
    <w:unhideWhenUsed/>
    <w:qFormat/>
    <w:uiPriority w:val="0"/>
    <w:pPr>
      <w:spacing w:after="120"/>
    </w:pPr>
  </w:style>
  <w:style w:type="paragraph" w:customStyle="1" w:styleId="5">
    <w:name w:val="Normal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
    <w:name w:val="列出段落1"/>
    <w:basedOn w:val="1"/>
    <w:unhideWhenUsed/>
    <w:qFormat/>
    <w:uiPriority w:val="99"/>
    <w:pPr>
      <w:ind w:firstLine="420" w:firstLineChars="200"/>
    </w:pPr>
    <w:rPr>
      <w:rFonts w:ascii="宋体" w:hAnsi="Calibri"/>
      <w:kern w:val="0"/>
      <w:sz w:val="34"/>
      <w:szCs w:val="22"/>
    </w:rPr>
  </w:style>
  <w:style w:type="table" w:customStyle="1" w:styleId="7">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2026-08-24T08:10:29Z</dcterms:created>
  <dc:creator>pc354</dc:creator>
  <cp:lastModifiedBy>王鹏</cp:lastModifiedBy>
  <dcterms:modified xsi:type="dcterms:W3CDTF">2026-08-24T08:10:55Z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eyJoZGlkIjoiYTA1ZjU4NGU2MjEwN2EwYTRjM2M2MDgxZGI3NDQyMjgiLCJ1c2VySWQiOiIxNjcxNjE4NTEwIn0=</vt:lpwstr>
  </property>
  <property fmtid="{D5CDD505-2E9C-101B-9397-08002B2CF9AE}" pid="4" name="ICV">
    <vt:lpwstr>3C16A71F67F14A47B641FBC07E530E0B_12</vt:lpwstr>
  </property>
</Properties>
</file>